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6B58A3" w14:paraId="31EECFA3" w14:textId="77777777">
        <w:tc>
          <w:tcPr>
            <w:tcW w:w="5495" w:type="dxa"/>
          </w:tcPr>
          <w:p w14:paraId="2C1902BF" w14:textId="77777777" w:rsidR="006B58A3" w:rsidRDefault="006751C9">
            <w:pPr>
              <w:widowControl w:val="0"/>
              <w:ind w:right="397"/>
              <w:jc w:val="both"/>
              <w:rPr>
                <w:b/>
                <w:bCs/>
              </w:rPr>
            </w:pPr>
            <w:r>
              <w:rPr>
                <w:b/>
              </w:rPr>
              <w:t>West Area Planning Committee</w:t>
            </w:r>
          </w:p>
        </w:tc>
        <w:tc>
          <w:tcPr>
            <w:tcW w:w="3793" w:type="dxa"/>
          </w:tcPr>
          <w:p w14:paraId="568B1D45" w14:textId="77777777" w:rsidR="006B58A3" w:rsidRDefault="006751C9">
            <w:pPr>
              <w:widowControl w:val="0"/>
              <w:jc w:val="right"/>
            </w:pPr>
            <w:r>
              <w:t>9</w:t>
            </w:r>
            <w:r w:rsidRPr="006751C9">
              <w:rPr>
                <w:vertAlign w:val="superscript"/>
              </w:rPr>
              <w:t>th</w:t>
            </w:r>
            <w:r>
              <w:t xml:space="preserve"> June 2020</w:t>
            </w:r>
          </w:p>
        </w:tc>
      </w:tr>
    </w:tbl>
    <w:p w14:paraId="31A06573" w14:textId="77777777" w:rsidR="006B58A3" w:rsidRDefault="006B58A3">
      <w:pPr>
        <w:jc w:val="both"/>
      </w:pPr>
    </w:p>
    <w:tbl>
      <w:tblPr>
        <w:tblW w:w="0" w:type="auto"/>
        <w:tblLook w:val="0000" w:firstRow="0" w:lastRow="0" w:firstColumn="0" w:lastColumn="0" w:noHBand="0" w:noVBand="0"/>
      </w:tblPr>
      <w:tblGrid>
        <w:gridCol w:w="2892"/>
        <w:gridCol w:w="6179"/>
      </w:tblGrid>
      <w:tr w:rsidR="006B58A3" w14:paraId="643A6643" w14:textId="77777777">
        <w:tc>
          <w:tcPr>
            <w:tcW w:w="2943" w:type="dxa"/>
          </w:tcPr>
          <w:p w14:paraId="7160C052" w14:textId="77777777" w:rsidR="006B58A3" w:rsidRDefault="006B58A3">
            <w:pPr>
              <w:jc w:val="both"/>
            </w:pPr>
            <w:r>
              <w:rPr>
                <w:b/>
                <w:bCs/>
              </w:rPr>
              <w:t>Application number:</w:t>
            </w:r>
          </w:p>
        </w:tc>
        <w:tc>
          <w:tcPr>
            <w:tcW w:w="6344" w:type="dxa"/>
          </w:tcPr>
          <w:p w14:paraId="27BEF7EF" w14:textId="77777777" w:rsidR="006B58A3" w:rsidRDefault="006B58A3">
            <w:pPr>
              <w:jc w:val="both"/>
            </w:pPr>
            <w:r>
              <w:t>20/00616/VAR</w:t>
            </w:r>
          </w:p>
        </w:tc>
      </w:tr>
      <w:tr w:rsidR="006B58A3" w14:paraId="483E898B" w14:textId="77777777">
        <w:tc>
          <w:tcPr>
            <w:tcW w:w="2943" w:type="dxa"/>
          </w:tcPr>
          <w:p w14:paraId="2F71FB65" w14:textId="77777777" w:rsidR="006B58A3" w:rsidRDefault="006B58A3">
            <w:pPr>
              <w:jc w:val="both"/>
            </w:pPr>
          </w:p>
        </w:tc>
        <w:tc>
          <w:tcPr>
            <w:tcW w:w="6344" w:type="dxa"/>
          </w:tcPr>
          <w:p w14:paraId="42C6307A" w14:textId="77777777" w:rsidR="006B58A3" w:rsidRDefault="006B58A3">
            <w:pPr>
              <w:jc w:val="both"/>
            </w:pPr>
          </w:p>
        </w:tc>
      </w:tr>
      <w:tr w:rsidR="006B58A3" w14:paraId="0A191716" w14:textId="77777777">
        <w:tc>
          <w:tcPr>
            <w:tcW w:w="2943" w:type="dxa"/>
          </w:tcPr>
          <w:p w14:paraId="222F6F71" w14:textId="77777777" w:rsidR="006B58A3" w:rsidRDefault="006B58A3">
            <w:pPr>
              <w:jc w:val="both"/>
            </w:pPr>
            <w:r>
              <w:rPr>
                <w:b/>
                <w:bCs/>
              </w:rPr>
              <w:t>Decision due by</w:t>
            </w:r>
          </w:p>
        </w:tc>
        <w:tc>
          <w:tcPr>
            <w:tcW w:w="6344" w:type="dxa"/>
          </w:tcPr>
          <w:p w14:paraId="10D302A4" w14:textId="77777777" w:rsidR="006B58A3" w:rsidRDefault="006B58A3">
            <w:pPr>
              <w:jc w:val="both"/>
            </w:pPr>
            <w:r>
              <w:t>30th April 2020</w:t>
            </w:r>
          </w:p>
        </w:tc>
      </w:tr>
      <w:tr w:rsidR="006B58A3" w14:paraId="61AB4C8F" w14:textId="77777777">
        <w:tc>
          <w:tcPr>
            <w:tcW w:w="2943" w:type="dxa"/>
          </w:tcPr>
          <w:p w14:paraId="7F9761BB" w14:textId="77777777" w:rsidR="006B58A3" w:rsidRDefault="006B58A3">
            <w:pPr>
              <w:jc w:val="both"/>
            </w:pPr>
          </w:p>
        </w:tc>
        <w:tc>
          <w:tcPr>
            <w:tcW w:w="6344" w:type="dxa"/>
          </w:tcPr>
          <w:p w14:paraId="6D8D52B8" w14:textId="77777777" w:rsidR="006B58A3" w:rsidRDefault="006B58A3">
            <w:pPr>
              <w:jc w:val="both"/>
            </w:pPr>
          </w:p>
        </w:tc>
      </w:tr>
      <w:tr w:rsidR="006B58A3" w14:paraId="78CCEA1D" w14:textId="77777777">
        <w:tc>
          <w:tcPr>
            <w:tcW w:w="2943" w:type="dxa"/>
          </w:tcPr>
          <w:p w14:paraId="03A50390" w14:textId="77777777" w:rsidR="006B58A3" w:rsidRDefault="006B58A3">
            <w:pPr>
              <w:jc w:val="both"/>
              <w:rPr>
                <w:b/>
              </w:rPr>
            </w:pPr>
            <w:r>
              <w:rPr>
                <w:b/>
              </w:rPr>
              <w:t>Extension of time</w:t>
            </w:r>
          </w:p>
        </w:tc>
        <w:tc>
          <w:tcPr>
            <w:tcW w:w="6344" w:type="dxa"/>
          </w:tcPr>
          <w:p w14:paraId="6C865738" w14:textId="77777777" w:rsidR="006B58A3" w:rsidRDefault="006751C9">
            <w:pPr>
              <w:jc w:val="both"/>
            </w:pPr>
            <w:r>
              <w:t>16</w:t>
            </w:r>
            <w:r w:rsidRPr="006751C9">
              <w:rPr>
                <w:vertAlign w:val="superscript"/>
              </w:rPr>
              <w:t>th</w:t>
            </w:r>
            <w:r>
              <w:t xml:space="preserve"> June 2020</w:t>
            </w:r>
          </w:p>
        </w:tc>
      </w:tr>
      <w:tr w:rsidR="006B58A3" w14:paraId="493F491B" w14:textId="77777777">
        <w:tc>
          <w:tcPr>
            <w:tcW w:w="2943" w:type="dxa"/>
          </w:tcPr>
          <w:p w14:paraId="683E5497" w14:textId="77777777" w:rsidR="006B58A3" w:rsidRDefault="006B58A3">
            <w:pPr>
              <w:jc w:val="both"/>
            </w:pPr>
          </w:p>
        </w:tc>
        <w:tc>
          <w:tcPr>
            <w:tcW w:w="6344" w:type="dxa"/>
          </w:tcPr>
          <w:p w14:paraId="3A402103" w14:textId="77777777" w:rsidR="006B58A3" w:rsidRDefault="006B58A3">
            <w:pPr>
              <w:jc w:val="both"/>
            </w:pPr>
          </w:p>
        </w:tc>
      </w:tr>
      <w:tr w:rsidR="006B58A3" w14:paraId="290E2B05" w14:textId="77777777">
        <w:tc>
          <w:tcPr>
            <w:tcW w:w="2943" w:type="dxa"/>
          </w:tcPr>
          <w:p w14:paraId="1BE4628F" w14:textId="77777777" w:rsidR="006B58A3" w:rsidRDefault="006B58A3">
            <w:pPr>
              <w:jc w:val="both"/>
              <w:rPr>
                <w:b/>
                <w:bCs/>
              </w:rPr>
            </w:pPr>
            <w:r>
              <w:rPr>
                <w:b/>
                <w:bCs/>
              </w:rPr>
              <w:t>Proposal</w:t>
            </w:r>
          </w:p>
        </w:tc>
        <w:tc>
          <w:tcPr>
            <w:tcW w:w="6344" w:type="dxa"/>
          </w:tcPr>
          <w:p w14:paraId="23A5C1F2" w14:textId="77777777" w:rsidR="006B58A3" w:rsidRDefault="006B58A3">
            <w:pPr>
              <w:jc w:val="both"/>
            </w:pPr>
            <w:r>
              <w:t xml:space="preserve">Variation of condition 2 (Conservation Areas) and 13 (Privacy screen) of planning permission 19/00168/VAR (Variation of condition 2(Develop in accordance with approved plans) of planning permission 17/02109/FUL (Partial demolition of existing building, alteration and extension to create a new link, rear extension and provision of bin and cycle stores. Removal of trees and landscaping.  (amended plans) to allow improvements to access, brickwork and circulation around the building.)) </w:t>
            </w:r>
            <w:proofErr w:type="gramStart"/>
            <w:r>
              <w:t>to</w:t>
            </w:r>
            <w:proofErr w:type="gramEnd"/>
            <w:r>
              <w:t xml:space="preserve"> lower the first floor terrace screens to 19 Bardwell Road.</w:t>
            </w:r>
          </w:p>
        </w:tc>
      </w:tr>
      <w:tr w:rsidR="006B58A3" w14:paraId="05D45ECB" w14:textId="77777777">
        <w:tc>
          <w:tcPr>
            <w:tcW w:w="2943" w:type="dxa"/>
          </w:tcPr>
          <w:p w14:paraId="1F952AF2" w14:textId="77777777" w:rsidR="006B58A3" w:rsidRDefault="006B58A3">
            <w:pPr>
              <w:jc w:val="both"/>
              <w:rPr>
                <w:b/>
                <w:bCs/>
              </w:rPr>
            </w:pPr>
          </w:p>
        </w:tc>
        <w:tc>
          <w:tcPr>
            <w:tcW w:w="6344" w:type="dxa"/>
          </w:tcPr>
          <w:p w14:paraId="389D4E5F" w14:textId="77777777" w:rsidR="006B58A3" w:rsidRDefault="006B58A3">
            <w:pPr>
              <w:jc w:val="both"/>
            </w:pPr>
          </w:p>
        </w:tc>
      </w:tr>
      <w:tr w:rsidR="006B58A3" w14:paraId="1932F4A9" w14:textId="77777777">
        <w:tc>
          <w:tcPr>
            <w:tcW w:w="2943" w:type="dxa"/>
          </w:tcPr>
          <w:p w14:paraId="3F4541C7" w14:textId="77777777" w:rsidR="006B58A3" w:rsidRDefault="006B58A3">
            <w:pPr>
              <w:jc w:val="both"/>
              <w:rPr>
                <w:b/>
                <w:bCs/>
              </w:rPr>
            </w:pPr>
            <w:r>
              <w:rPr>
                <w:b/>
                <w:bCs/>
              </w:rPr>
              <w:t>Site address</w:t>
            </w:r>
          </w:p>
        </w:tc>
        <w:tc>
          <w:tcPr>
            <w:tcW w:w="6344" w:type="dxa"/>
          </w:tcPr>
          <w:p w14:paraId="5EF93354" w14:textId="77777777" w:rsidR="006B58A3" w:rsidRDefault="006B58A3">
            <w:r>
              <w:t xml:space="preserve">Bardwell Court , Bardwell Road, Oxford, OX2 6SX – see </w:t>
            </w:r>
            <w:r>
              <w:rPr>
                <w:b/>
              </w:rPr>
              <w:t>Appendix 1</w:t>
            </w:r>
            <w:r>
              <w:t xml:space="preserve"> for site plan</w:t>
            </w:r>
          </w:p>
        </w:tc>
      </w:tr>
      <w:tr w:rsidR="006B58A3" w14:paraId="52B0E114" w14:textId="77777777">
        <w:tc>
          <w:tcPr>
            <w:tcW w:w="2943" w:type="dxa"/>
          </w:tcPr>
          <w:p w14:paraId="52E0B463" w14:textId="77777777" w:rsidR="006B58A3" w:rsidRDefault="006B58A3">
            <w:pPr>
              <w:jc w:val="both"/>
            </w:pPr>
          </w:p>
        </w:tc>
        <w:tc>
          <w:tcPr>
            <w:tcW w:w="6344" w:type="dxa"/>
          </w:tcPr>
          <w:p w14:paraId="11750E43" w14:textId="77777777" w:rsidR="006B58A3" w:rsidRDefault="006B58A3">
            <w:pPr>
              <w:jc w:val="both"/>
            </w:pPr>
          </w:p>
        </w:tc>
      </w:tr>
      <w:tr w:rsidR="006B58A3" w14:paraId="42231A92" w14:textId="77777777">
        <w:tc>
          <w:tcPr>
            <w:tcW w:w="2943" w:type="dxa"/>
          </w:tcPr>
          <w:p w14:paraId="66B793B4" w14:textId="77777777" w:rsidR="006B58A3" w:rsidRDefault="006B58A3">
            <w:pPr>
              <w:jc w:val="both"/>
              <w:rPr>
                <w:b/>
                <w:bCs/>
              </w:rPr>
            </w:pPr>
            <w:r>
              <w:rPr>
                <w:b/>
                <w:bCs/>
              </w:rPr>
              <w:t>Ward</w:t>
            </w:r>
          </w:p>
        </w:tc>
        <w:tc>
          <w:tcPr>
            <w:tcW w:w="6344" w:type="dxa"/>
          </w:tcPr>
          <w:p w14:paraId="2BAA5F9F" w14:textId="77777777" w:rsidR="006B58A3" w:rsidRDefault="006B58A3">
            <w:pPr>
              <w:jc w:val="both"/>
            </w:pPr>
            <w:r>
              <w:t xml:space="preserve">St </w:t>
            </w:r>
            <w:r w:rsidR="006751C9">
              <w:t>Margaret’s</w:t>
            </w:r>
            <w:r>
              <w:t xml:space="preserve"> Ward</w:t>
            </w:r>
          </w:p>
        </w:tc>
      </w:tr>
      <w:tr w:rsidR="006B58A3" w14:paraId="1C1F62FF" w14:textId="77777777">
        <w:tc>
          <w:tcPr>
            <w:tcW w:w="2943" w:type="dxa"/>
          </w:tcPr>
          <w:p w14:paraId="57BF3BA3" w14:textId="77777777" w:rsidR="006B58A3" w:rsidRDefault="006B58A3">
            <w:pPr>
              <w:jc w:val="both"/>
              <w:rPr>
                <w:b/>
                <w:bCs/>
              </w:rPr>
            </w:pPr>
          </w:p>
        </w:tc>
        <w:tc>
          <w:tcPr>
            <w:tcW w:w="6344" w:type="dxa"/>
          </w:tcPr>
          <w:p w14:paraId="5E5FCBEE" w14:textId="77777777" w:rsidR="006B58A3" w:rsidRDefault="006B58A3">
            <w:pPr>
              <w:jc w:val="both"/>
            </w:pPr>
          </w:p>
        </w:tc>
      </w:tr>
      <w:tr w:rsidR="006B58A3" w14:paraId="56ED39E0" w14:textId="77777777">
        <w:tc>
          <w:tcPr>
            <w:tcW w:w="2943" w:type="dxa"/>
          </w:tcPr>
          <w:p w14:paraId="7B259BF0" w14:textId="77777777" w:rsidR="006B58A3" w:rsidRDefault="006B58A3">
            <w:pPr>
              <w:rPr>
                <w:b/>
                <w:bCs/>
              </w:rPr>
            </w:pPr>
            <w:r>
              <w:rPr>
                <w:b/>
                <w:bCs/>
              </w:rPr>
              <w:t>Case officer</w:t>
            </w:r>
          </w:p>
        </w:tc>
        <w:tc>
          <w:tcPr>
            <w:tcW w:w="6344" w:type="dxa"/>
          </w:tcPr>
          <w:p w14:paraId="6CDC3514" w14:textId="77777777" w:rsidR="006B58A3" w:rsidRDefault="006B58A3">
            <w:pPr>
              <w:jc w:val="both"/>
            </w:pPr>
            <w:r>
              <w:t>James Paterson</w:t>
            </w:r>
          </w:p>
        </w:tc>
      </w:tr>
    </w:tbl>
    <w:p w14:paraId="65D218B8" w14:textId="77777777" w:rsidR="006B58A3" w:rsidRDefault="006B58A3">
      <w:pPr>
        <w:jc w:val="both"/>
      </w:pPr>
    </w:p>
    <w:tbl>
      <w:tblPr>
        <w:tblW w:w="9288" w:type="dxa"/>
        <w:tblLayout w:type="fixed"/>
        <w:tblLook w:val="0000" w:firstRow="0" w:lastRow="0" w:firstColumn="0" w:lastColumn="0" w:noHBand="0" w:noVBand="0"/>
      </w:tblPr>
      <w:tblGrid>
        <w:gridCol w:w="2943"/>
        <w:gridCol w:w="2115"/>
        <w:gridCol w:w="1854"/>
        <w:gridCol w:w="2376"/>
      </w:tblGrid>
      <w:tr w:rsidR="006B58A3" w14:paraId="04FC0948" w14:textId="77777777">
        <w:tc>
          <w:tcPr>
            <w:tcW w:w="2943" w:type="dxa"/>
          </w:tcPr>
          <w:p w14:paraId="480B3C96" w14:textId="77777777" w:rsidR="006B58A3" w:rsidRDefault="006B58A3">
            <w:r>
              <w:rPr>
                <w:b/>
                <w:bCs/>
              </w:rPr>
              <w:t>Agent:</w:t>
            </w:r>
            <w:r>
              <w:t xml:space="preserve"> </w:t>
            </w:r>
          </w:p>
        </w:tc>
        <w:tc>
          <w:tcPr>
            <w:tcW w:w="2115" w:type="dxa"/>
          </w:tcPr>
          <w:p w14:paraId="722015FD" w14:textId="77777777" w:rsidR="006B58A3" w:rsidRDefault="006B58A3">
            <w:r>
              <w:t xml:space="preserve">Mr Deon </w:t>
            </w:r>
            <w:proofErr w:type="spellStart"/>
            <w:r>
              <w:t>Ludeman</w:t>
            </w:r>
            <w:proofErr w:type="spellEnd"/>
          </w:p>
        </w:tc>
        <w:tc>
          <w:tcPr>
            <w:tcW w:w="1854" w:type="dxa"/>
          </w:tcPr>
          <w:p w14:paraId="53F88066" w14:textId="77777777" w:rsidR="006B58A3" w:rsidRDefault="006B58A3">
            <w:r>
              <w:rPr>
                <w:b/>
                <w:bCs/>
              </w:rPr>
              <w:t>Applicant:</w:t>
            </w:r>
            <w:r>
              <w:t xml:space="preserve"> </w:t>
            </w:r>
          </w:p>
        </w:tc>
        <w:tc>
          <w:tcPr>
            <w:tcW w:w="2376" w:type="dxa"/>
          </w:tcPr>
          <w:p w14:paraId="7F629BB2" w14:textId="77777777" w:rsidR="006B58A3" w:rsidRDefault="006B58A3">
            <w:r>
              <w:t>St John's College</w:t>
            </w:r>
          </w:p>
        </w:tc>
      </w:tr>
    </w:tbl>
    <w:p w14:paraId="53FCCE52" w14:textId="77777777" w:rsidR="006B58A3" w:rsidRDefault="006B58A3"/>
    <w:tbl>
      <w:tblPr>
        <w:tblW w:w="9288" w:type="dxa"/>
        <w:tblLayout w:type="fixed"/>
        <w:tblLook w:val="0000" w:firstRow="0" w:lastRow="0" w:firstColumn="0" w:lastColumn="0" w:noHBand="0" w:noVBand="0"/>
      </w:tblPr>
      <w:tblGrid>
        <w:gridCol w:w="2943"/>
        <w:gridCol w:w="6345"/>
      </w:tblGrid>
      <w:tr w:rsidR="006B58A3" w14:paraId="78327865" w14:textId="77777777">
        <w:tc>
          <w:tcPr>
            <w:tcW w:w="2943" w:type="dxa"/>
          </w:tcPr>
          <w:p w14:paraId="2483FE5A" w14:textId="77777777" w:rsidR="006B58A3" w:rsidRDefault="006B58A3">
            <w:pPr>
              <w:rPr>
                <w:b/>
                <w:bCs/>
              </w:rPr>
            </w:pPr>
            <w:r>
              <w:rPr>
                <w:b/>
              </w:rPr>
              <w:t>Reason at Committee</w:t>
            </w:r>
          </w:p>
        </w:tc>
        <w:tc>
          <w:tcPr>
            <w:tcW w:w="6345" w:type="dxa"/>
          </w:tcPr>
          <w:p w14:paraId="76C17F02" w14:textId="77777777" w:rsidR="006B58A3" w:rsidRDefault="006751C9" w:rsidP="004A4D3C">
            <w:pPr>
              <w:jc w:val="both"/>
            </w:pPr>
            <w:r>
              <w:t xml:space="preserve">This application entails the </w:t>
            </w:r>
            <w:r w:rsidRPr="006751C9">
              <w:t>agreeing</w:t>
            </w:r>
            <w:r w:rsidR="004A4D3C">
              <w:t xml:space="preserve"> of</w:t>
            </w:r>
            <w:r w:rsidRPr="006751C9">
              <w:t xml:space="preserve"> significant amendments</w:t>
            </w:r>
            <w:r>
              <w:t xml:space="preserve"> to an application (17/02109/FUL) originally called into</w:t>
            </w:r>
            <w:r w:rsidR="004A4D3C">
              <w:t>, and determined at,</w:t>
            </w:r>
            <w:r>
              <w:t xml:space="preserve"> </w:t>
            </w:r>
            <w:r w:rsidR="004A4D3C">
              <w:t xml:space="preserve">planning </w:t>
            </w:r>
            <w:r>
              <w:t>committee.</w:t>
            </w:r>
          </w:p>
        </w:tc>
      </w:tr>
    </w:tbl>
    <w:p w14:paraId="4341A085" w14:textId="77777777" w:rsidR="006B58A3" w:rsidRDefault="006B58A3">
      <w:pPr>
        <w:pBdr>
          <w:bottom w:val="single" w:sz="4" w:space="1" w:color="auto"/>
        </w:pBdr>
        <w:jc w:val="both"/>
      </w:pPr>
    </w:p>
    <w:p w14:paraId="47B7E276" w14:textId="77777777" w:rsidR="006B58A3" w:rsidRDefault="006B58A3">
      <w:pPr>
        <w:pStyle w:val="Header"/>
        <w:widowControl w:val="0"/>
        <w:tabs>
          <w:tab w:val="clear" w:pos="4153"/>
          <w:tab w:val="clear" w:pos="8306"/>
        </w:tabs>
        <w:jc w:val="both"/>
      </w:pPr>
    </w:p>
    <w:p w14:paraId="7477A207" w14:textId="77777777" w:rsidR="006B58A3" w:rsidRDefault="006B58A3">
      <w:pPr>
        <w:pStyle w:val="HEADINGA"/>
      </w:pPr>
      <w:r>
        <w:t>RECOMMENDATION</w:t>
      </w:r>
    </w:p>
    <w:p w14:paraId="2C8FEC97" w14:textId="5BB0256C" w:rsidR="006B58A3" w:rsidRDefault="006B58A3">
      <w:pPr>
        <w:pStyle w:val="PARAGRAPHA"/>
        <w:jc w:val="left"/>
      </w:pPr>
      <w:r>
        <w:t xml:space="preserve">  </w:t>
      </w:r>
      <w:r w:rsidR="00455020">
        <w:t xml:space="preserve">West Area Planning Committee </w:t>
      </w:r>
      <w:r>
        <w:t>is recommended to:</w:t>
      </w:r>
    </w:p>
    <w:p w14:paraId="3435CF0A" w14:textId="5A3B7B4F" w:rsidR="006B58A3" w:rsidRDefault="006751C9" w:rsidP="00455020">
      <w:pPr>
        <w:pStyle w:val="PARAGRAPHB"/>
      </w:pPr>
      <w:r>
        <w:rPr>
          <w:b/>
        </w:rPr>
        <w:t>Refuse</w:t>
      </w:r>
      <w:r w:rsidR="006B58A3">
        <w:rPr>
          <w:b/>
        </w:rPr>
        <w:t xml:space="preserve"> the application</w:t>
      </w:r>
      <w:r w:rsidR="006B58A3">
        <w:t xml:space="preserve"> for the reasons given </w:t>
      </w:r>
      <w:r w:rsidR="00455020">
        <w:t>below and f</w:t>
      </w:r>
      <w:r w:rsidR="006B58A3">
        <w:t xml:space="preserve">inalise the recommended </w:t>
      </w:r>
      <w:r w:rsidR="00455020">
        <w:t>reason</w:t>
      </w:r>
      <w:r>
        <w:t xml:space="preserve"> for refusing the application</w:t>
      </w:r>
      <w:r w:rsidR="006B58A3">
        <w:t xml:space="preserve"> as set out in this report including such refinements, amendments, additions and/or deletions as the Head of Planning Services considers reasonably ne</w:t>
      </w:r>
      <w:r>
        <w:t>cessary.</w:t>
      </w:r>
    </w:p>
    <w:p w14:paraId="68A7EC58" w14:textId="3D272B22" w:rsidR="00455020" w:rsidRDefault="00455020" w:rsidP="00455020">
      <w:pPr>
        <w:pStyle w:val="BULLETS"/>
        <w:numPr>
          <w:ilvl w:val="0"/>
          <w:numId w:val="10"/>
        </w:numPr>
      </w:pPr>
      <w:r w:rsidRPr="0087208B">
        <w:t xml:space="preserve">Having had regard to the views that would be possible into and out of the terraced area which the privacy screens in question serve as well as to the context of the site, the proposed development would introduce an unacceptable loss of privacy through overlooking between the first floor terraced area of Unit 2 at 19 Bardwell Road and neighbours. As a result of these impacts the proposed development has not been designed in a manner that would protect the residential amenities of the adjoining </w:t>
      </w:r>
      <w:r w:rsidRPr="0087208B">
        <w:lastRenderedPageBreak/>
        <w:t>properties which would be contrary to Policy CP1 of the Oxford Local Plan 2001-2016 and</w:t>
      </w:r>
      <w:r>
        <w:t xml:space="preserve"> Policy HP14 of the</w:t>
      </w:r>
      <w:r w:rsidRPr="0087208B">
        <w:t xml:space="preserve"> Sites and Housing Plan</w:t>
      </w:r>
      <w:r>
        <w:t>.</w:t>
      </w:r>
    </w:p>
    <w:p w14:paraId="31123EA5" w14:textId="77777777" w:rsidR="00455020" w:rsidRDefault="00455020"/>
    <w:p w14:paraId="36A411E7" w14:textId="77777777" w:rsidR="006B58A3" w:rsidRDefault="006B58A3">
      <w:pPr>
        <w:pStyle w:val="HEADINGA"/>
      </w:pPr>
      <w:r>
        <w:t>EXECUTIVE SUMMARY</w:t>
      </w:r>
    </w:p>
    <w:p w14:paraId="4F4F8FDA" w14:textId="16DAA082" w:rsidR="006B58A3" w:rsidRDefault="006B58A3" w:rsidP="00455020">
      <w:pPr>
        <w:pStyle w:val="PARAGRAPHA"/>
        <w:ind w:left="709" w:hanging="709"/>
      </w:pPr>
      <w:r>
        <w:t>This report considers</w:t>
      </w:r>
      <w:r w:rsidR="006751C9">
        <w:t xml:space="preserve"> the alterations to the privacy screens</w:t>
      </w:r>
      <w:r w:rsidR="00A267EE">
        <w:t xml:space="preserve"> that were required as part of the extensions and alterations approved for Bardwell Court (</w:t>
      </w:r>
      <w:proofErr w:type="gramStart"/>
      <w:r w:rsidR="00A267EE">
        <w:t xml:space="preserve">reference </w:t>
      </w:r>
      <w:r w:rsidR="006751C9">
        <w:t xml:space="preserve"> </w:t>
      </w:r>
      <w:r w:rsidR="00A267EE">
        <w:rPr>
          <w:lang w:val="fr-FR"/>
        </w:rPr>
        <w:t>17</w:t>
      </w:r>
      <w:proofErr w:type="gramEnd"/>
      <w:r w:rsidR="00A267EE">
        <w:rPr>
          <w:lang w:val="fr-FR"/>
        </w:rPr>
        <w:t xml:space="preserve">/02109/FUL). The </w:t>
      </w:r>
      <w:proofErr w:type="spellStart"/>
      <w:r w:rsidR="00A267EE">
        <w:rPr>
          <w:lang w:val="fr-FR"/>
        </w:rPr>
        <w:t>privacy</w:t>
      </w:r>
      <w:proofErr w:type="spellEnd"/>
      <w:r w:rsidR="00A267EE">
        <w:rPr>
          <w:lang w:val="fr-FR"/>
        </w:rPr>
        <w:t xml:space="preserve"> </w:t>
      </w:r>
      <w:proofErr w:type="spellStart"/>
      <w:r w:rsidR="00A267EE">
        <w:rPr>
          <w:lang w:val="fr-FR"/>
        </w:rPr>
        <w:t>screens</w:t>
      </w:r>
      <w:proofErr w:type="spellEnd"/>
      <w:r w:rsidR="00A267EE">
        <w:rPr>
          <w:lang w:val="fr-FR"/>
        </w:rPr>
        <w:t xml:space="preserve"> </w:t>
      </w:r>
      <w:proofErr w:type="spellStart"/>
      <w:r w:rsidR="00A267EE">
        <w:rPr>
          <w:lang w:val="fr-FR"/>
        </w:rPr>
        <w:t>were</w:t>
      </w:r>
      <w:proofErr w:type="spellEnd"/>
      <w:r w:rsidR="00A267EE">
        <w:rPr>
          <w:lang w:val="fr-FR"/>
        </w:rPr>
        <w:t xml:space="preserve"> </w:t>
      </w:r>
      <w:proofErr w:type="spellStart"/>
      <w:r w:rsidR="00A267EE">
        <w:rPr>
          <w:lang w:val="fr-FR"/>
        </w:rPr>
        <w:t>approved</w:t>
      </w:r>
      <w:proofErr w:type="spellEnd"/>
      <w:r w:rsidR="00A267EE">
        <w:rPr>
          <w:lang w:val="fr-FR"/>
        </w:rPr>
        <w:t xml:space="preserve"> to </w:t>
      </w:r>
      <w:proofErr w:type="spellStart"/>
      <w:r w:rsidR="00A267EE">
        <w:rPr>
          <w:lang w:val="fr-FR"/>
        </w:rPr>
        <w:t>be</w:t>
      </w:r>
      <w:proofErr w:type="spellEnd"/>
      <w:r w:rsidR="00A267EE">
        <w:rPr>
          <w:lang w:val="fr-FR"/>
        </w:rPr>
        <w:t xml:space="preserve"> </w:t>
      </w:r>
      <w:r w:rsidR="006751C9">
        <w:t>located t</w:t>
      </w:r>
      <w:r w:rsidR="00B32A72">
        <w:t>o the rear at first floor level, screening the view from the terrace areas that form the amenity spaces for the first floor flats. This application deals specifically with changes to one of the flats and the privacy screens serving the terrace,</w:t>
      </w:r>
      <w:r w:rsidR="006751C9">
        <w:t xml:space="preserve"> Unit 2 at 19 Bardwell Road. The alterations would include the lowering of the screens to 1.1m in height from</w:t>
      </w:r>
      <w:r w:rsidR="00172FA8">
        <w:t xml:space="preserve"> the 1.8m</w:t>
      </w:r>
      <w:r w:rsidR="00B32A72">
        <w:t xml:space="preserve">. Whilst this is a relatively small part of the overall scheme it was a significant point of discussion at planning committee when the item was considered and the provision of the privacy screens was raised by numerous interested parties at the time that planning permission was granted. </w:t>
      </w:r>
    </w:p>
    <w:p w14:paraId="0AD7E0E0" w14:textId="09F05032" w:rsidR="00B32A72" w:rsidRDefault="00B32A72" w:rsidP="00455020">
      <w:pPr>
        <w:pStyle w:val="PARAGRAPHA"/>
        <w:ind w:left="709" w:hanging="709"/>
      </w:pPr>
      <w:r>
        <w:t>Officers consider that lowering the height of the screens would cause an unacceptable loss of privacy for neighbouring occupiers and are therefore recommending that the proposed amendment should be refused.</w:t>
      </w:r>
    </w:p>
    <w:p w14:paraId="1BEABDFE" w14:textId="77777777" w:rsidR="006B58A3" w:rsidRDefault="006B58A3">
      <w:pPr>
        <w:pStyle w:val="HEADINGA"/>
      </w:pPr>
      <w:r>
        <w:t>LEGAL AGREEMENT</w:t>
      </w:r>
    </w:p>
    <w:p w14:paraId="178769FB" w14:textId="77777777" w:rsidR="006B58A3" w:rsidRDefault="006751C9" w:rsidP="00455020">
      <w:pPr>
        <w:pStyle w:val="PARAGRAPHA"/>
        <w:ind w:left="709" w:hanging="709"/>
      </w:pPr>
      <w:r>
        <w:t xml:space="preserve">This application is </w:t>
      </w:r>
      <w:r w:rsidR="006B58A3">
        <w:t>not</w:t>
      </w:r>
      <w:r>
        <w:t xml:space="preserve"> subject to a legal agreement.</w:t>
      </w:r>
    </w:p>
    <w:p w14:paraId="40F97835" w14:textId="77777777" w:rsidR="006B58A3" w:rsidRDefault="006B58A3">
      <w:pPr>
        <w:pStyle w:val="HEADINGA"/>
      </w:pPr>
      <w:r>
        <w:t>COMMUNITY INFRASTRUCTURE LEVY (CIL)</w:t>
      </w:r>
    </w:p>
    <w:p w14:paraId="3D8561AB" w14:textId="77777777" w:rsidR="006B58A3" w:rsidRDefault="006B58A3" w:rsidP="00455020">
      <w:pPr>
        <w:pStyle w:val="PARAGRAPHA"/>
        <w:ind w:left="709" w:hanging="709"/>
        <w:rPr>
          <w:b/>
        </w:rPr>
      </w:pPr>
      <w:r>
        <w:t>The proposal is</w:t>
      </w:r>
      <w:r w:rsidR="006751C9">
        <w:t xml:space="preserve"> not liable for CIL.</w:t>
      </w:r>
    </w:p>
    <w:p w14:paraId="4100C3D9" w14:textId="77777777" w:rsidR="006B58A3" w:rsidRDefault="006B58A3" w:rsidP="00455020">
      <w:pPr>
        <w:pStyle w:val="HEADINGA"/>
      </w:pPr>
      <w:r>
        <w:t>SITE AND SURROUNDINGS</w:t>
      </w:r>
    </w:p>
    <w:p w14:paraId="556636CB" w14:textId="77777777" w:rsidR="006751C9" w:rsidRDefault="006751C9" w:rsidP="00455020">
      <w:pPr>
        <w:pStyle w:val="PARAGRAPHA"/>
        <w:ind w:left="709" w:hanging="709"/>
      </w:pPr>
      <w:r>
        <w:t xml:space="preserve">The site is located within North Oxford and is within the North Oxford Victorian Suburb Conservation Area. The area is characterised by larger properties (detached and semi-detached) usually with large front and rear gardens. Properties in the area are predominately in use as family homes and the area has a residential character. </w:t>
      </w:r>
    </w:p>
    <w:p w14:paraId="4D50F737" w14:textId="77777777" w:rsidR="006751C9" w:rsidRDefault="006751C9" w:rsidP="00455020">
      <w:pPr>
        <w:pStyle w:val="PARAGRAPHA"/>
        <w:ind w:left="709" w:hanging="709"/>
      </w:pPr>
      <w:r>
        <w:t xml:space="preserve">To the rear of the site </w:t>
      </w:r>
      <w:r w:rsidR="00172FA8">
        <w:t>there are listed buildings at Nos</w:t>
      </w:r>
      <w:r>
        <w:t xml:space="preserve">. 2-4 </w:t>
      </w:r>
      <w:proofErr w:type="spellStart"/>
      <w:r>
        <w:t>Charlbury</w:t>
      </w:r>
      <w:proofErr w:type="spellEnd"/>
      <w:r>
        <w:t xml:space="preserve"> Road (immediately to the north of the application site) and No. 2 </w:t>
      </w:r>
      <w:proofErr w:type="spellStart"/>
      <w:r>
        <w:t>Northmoor</w:t>
      </w:r>
      <w:proofErr w:type="spellEnd"/>
      <w:r>
        <w:t xml:space="preserve"> Road (which lies approximately 60m north-west of the application site). Nos</w:t>
      </w:r>
      <w:r w:rsidR="00172FA8">
        <w:t>.</w:t>
      </w:r>
      <w:r>
        <w:t xml:space="preserve"> 2-4 </w:t>
      </w:r>
      <w:proofErr w:type="spellStart"/>
      <w:r>
        <w:t>Charlbury</w:t>
      </w:r>
      <w:proofErr w:type="spellEnd"/>
      <w:r>
        <w:t xml:space="preserve"> Road and No. 2 </w:t>
      </w:r>
      <w:proofErr w:type="spellStart"/>
      <w:r>
        <w:t>Northmoor</w:t>
      </w:r>
      <w:proofErr w:type="spellEnd"/>
      <w:r>
        <w:t xml:space="preserve"> Road are all Grade II Listed Buildings. As a result of mature vegetation, existing boundaries and the substantial lengths of rear gardens these listed buildings are not particularly visible from the application site or its immediate surroundings. There is a view of the rear aspect of application site from </w:t>
      </w:r>
      <w:proofErr w:type="spellStart"/>
      <w:r>
        <w:t>Charlbury</w:t>
      </w:r>
      <w:proofErr w:type="spellEnd"/>
      <w:r>
        <w:t xml:space="preserve"> Road where No. 2-4 </w:t>
      </w:r>
      <w:proofErr w:type="spellStart"/>
      <w:r>
        <w:t>Charlbury</w:t>
      </w:r>
      <w:proofErr w:type="spellEnd"/>
      <w:r>
        <w:t xml:space="preserve"> Road are also visible; though there is a high wall along the boundary of No. 21 Bardwell Road which limits the view of the garden of the application site.</w:t>
      </w:r>
    </w:p>
    <w:p w14:paraId="3628E148" w14:textId="77777777" w:rsidR="006751C9" w:rsidRDefault="006751C9" w:rsidP="00455020">
      <w:pPr>
        <w:pStyle w:val="PARAGRAPHA"/>
        <w:ind w:left="709" w:hanging="709"/>
      </w:pPr>
      <w:r>
        <w:t xml:space="preserve">The generous front and rear gardens of properties contributes positively to the appearance of the area with mature vegetation in front gardens and glimpses of trees in rear gardens being a particularly important feature of this part of the </w:t>
      </w:r>
      <w:r>
        <w:lastRenderedPageBreak/>
        <w:t>Conservation Area. Although some properties have clearly been altered and extended</w:t>
      </w:r>
      <w:r w:rsidR="00CC51D3">
        <w:t>,</w:t>
      </w:r>
      <w:r>
        <w:t xml:space="preserve"> the original division of plots, in most cases delineated by low boundary walls in front gardens</w:t>
      </w:r>
      <w:r w:rsidR="00CC51D3">
        <w:t>,</w:t>
      </w:r>
      <w:r>
        <w:t xml:space="preserve"> is apparent in the </w:t>
      </w:r>
      <w:proofErr w:type="spellStart"/>
      <w:r>
        <w:t>streetscene</w:t>
      </w:r>
      <w:proofErr w:type="spellEnd"/>
      <w:r>
        <w:t xml:space="preserve">. The low boundary treatments at the front of the properties is particularly important in terms of providing a characteristically spacious feel to the </w:t>
      </w:r>
      <w:proofErr w:type="spellStart"/>
      <w:r>
        <w:t>streetscene</w:t>
      </w:r>
      <w:proofErr w:type="spellEnd"/>
      <w:r>
        <w:t>.</w:t>
      </w:r>
    </w:p>
    <w:p w14:paraId="59575B00" w14:textId="77777777" w:rsidR="006751C9" w:rsidRDefault="0029689C" w:rsidP="00455020">
      <w:pPr>
        <w:pStyle w:val="PARAGRAPHA"/>
        <w:ind w:left="709" w:hanging="709"/>
      </w:pPr>
      <w:r>
        <w:t>Planning permission was granted in 2017 to extend and substantially alter the flats at the Bardwell Court. Work was commenced in 2018 and is not yet complete</w:t>
      </w:r>
    </w:p>
    <w:p w14:paraId="074AF2A9" w14:textId="77777777" w:rsidR="006B58A3" w:rsidRDefault="006B58A3" w:rsidP="00455020">
      <w:pPr>
        <w:pStyle w:val="PARAGRAPHA"/>
        <w:ind w:left="709" w:hanging="709"/>
      </w:pPr>
      <w:r>
        <w:t>See block plan below:</w:t>
      </w:r>
    </w:p>
    <w:p w14:paraId="614BE0D5" w14:textId="77777777" w:rsidR="006B58A3" w:rsidRDefault="00EC4573">
      <w:pPr>
        <w:autoSpaceDE/>
        <w:autoSpaceDN/>
      </w:pPr>
      <w:r>
        <w:rPr>
          <w:noProof/>
          <w:lang w:eastAsia="en-GB"/>
        </w:rPr>
        <w:drawing>
          <wp:inline distT="0" distB="0" distL="0" distR="0" wp14:anchorId="29226232" wp14:editId="271DEF88">
            <wp:extent cx="304800" cy="952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952500"/>
                    </a:xfrm>
                    <a:prstGeom prst="rect">
                      <a:avLst/>
                    </a:prstGeom>
                    <a:noFill/>
                    <a:ln>
                      <a:noFill/>
                    </a:ln>
                  </pic:spPr>
                </pic:pic>
              </a:graphicData>
            </a:graphic>
          </wp:inline>
        </w:drawing>
      </w:r>
      <w:r w:rsidR="00172FA8" w:rsidRPr="00172FA8">
        <w:rPr>
          <w:noProof/>
          <w:lang w:eastAsia="en-GB"/>
        </w:rPr>
        <w:t xml:space="preserve"> </w:t>
      </w:r>
      <w:r w:rsidR="00172FA8">
        <w:rPr>
          <w:noProof/>
          <w:lang w:eastAsia="en-GB"/>
        </w:rPr>
        <w:drawing>
          <wp:inline distT="0" distB="0" distL="0" distR="0" wp14:anchorId="427B064E" wp14:editId="04ADA645">
            <wp:extent cx="3223260" cy="23279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28328" cy="2331571"/>
                    </a:xfrm>
                    <a:prstGeom prst="rect">
                      <a:avLst/>
                    </a:prstGeom>
                  </pic:spPr>
                </pic:pic>
              </a:graphicData>
            </a:graphic>
          </wp:inline>
        </w:drawing>
      </w:r>
    </w:p>
    <w:p w14:paraId="36FD485C" w14:textId="77777777" w:rsidR="006B58A3" w:rsidRDefault="006B58A3">
      <w:pPr>
        <w:autoSpaceDE/>
        <w:autoSpaceDN/>
        <w:rPr>
          <w:sz w:val="16"/>
          <w:szCs w:val="16"/>
        </w:rPr>
      </w:pPr>
      <w:r>
        <w:rPr>
          <w:sz w:val="16"/>
          <w:szCs w:val="16"/>
        </w:rPr>
        <w:t>© Crown Copyright and database right 2019.</w:t>
      </w:r>
    </w:p>
    <w:p w14:paraId="2DCDCA5D" w14:textId="77777777" w:rsidR="006B58A3" w:rsidRDefault="006B58A3">
      <w:pPr>
        <w:tabs>
          <w:tab w:val="center" w:pos="4153"/>
          <w:tab w:val="right" w:pos="8306"/>
        </w:tabs>
        <w:autoSpaceDE/>
        <w:autoSpaceDN/>
        <w:rPr>
          <w:szCs w:val="16"/>
        </w:rPr>
      </w:pPr>
      <w:r>
        <w:rPr>
          <w:sz w:val="16"/>
          <w:szCs w:val="16"/>
        </w:rPr>
        <w:t>Ordnance Survey 100019348</w:t>
      </w:r>
    </w:p>
    <w:p w14:paraId="4AD91C90" w14:textId="77777777" w:rsidR="006B58A3" w:rsidRDefault="006B58A3">
      <w:pPr>
        <w:ind w:left="426"/>
        <w:jc w:val="both"/>
        <w:rPr>
          <w:bCs/>
        </w:rPr>
      </w:pPr>
    </w:p>
    <w:p w14:paraId="0629A4CC" w14:textId="77777777" w:rsidR="006B58A3" w:rsidRDefault="006B58A3" w:rsidP="00455020">
      <w:pPr>
        <w:pStyle w:val="HEADINGA"/>
      </w:pPr>
      <w:r>
        <w:t>PROPOSAL</w:t>
      </w:r>
    </w:p>
    <w:p w14:paraId="06A3C97B" w14:textId="77777777" w:rsidR="006B58A3" w:rsidRDefault="006B58A3" w:rsidP="00455020">
      <w:pPr>
        <w:pStyle w:val="PARAGRAPHA"/>
        <w:ind w:left="709" w:hanging="709"/>
      </w:pPr>
      <w:r>
        <w:t>The application proposes</w:t>
      </w:r>
      <w:r w:rsidR="0029689C">
        <w:t xml:space="preserve"> to alter the approved</w:t>
      </w:r>
      <w:r w:rsidR="0029689C" w:rsidRPr="0029689C">
        <w:t xml:space="preserve"> privacy screens located to the rear at first floor level of 19 Bardwell Road. The</w:t>
      </w:r>
      <w:r w:rsidR="0029689C">
        <w:t>se</w:t>
      </w:r>
      <w:r w:rsidR="0029689C" w:rsidRPr="0029689C">
        <w:t xml:space="preserve"> screens would serve a flat, Unit 2 at 19 Bardwell Road. The alterations would include the lowering of the screens </w:t>
      </w:r>
      <w:r w:rsidR="005838EC">
        <w:t xml:space="preserve">to the sides of the terrace </w:t>
      </w:r>
      <w:r w:rsidR="0029689C" w:rsidRPr="0029689C">
        <w:t>to 1.1m in height from the 1.8m previously approved at committee.</w:t>
      </w:r>
      <w:r w:rsidR="005838EC">
        <w:t xml:space="preserve"> There would be no change in materials to the screens which would remain of Cedar construction.</w:t>
      </w:r>
    </w:p>
    <w:p w14:paraId="54751CF8" w14:textId="77777777" w:rsidR="005838EC" w:rsidRDefault="005838EC" w:rsidP="00455020">
      <w:pPr>
        <w:pStyle w:val="PARAGRAPHA"/>
        <w:ind w:left="709" w:hanging="709"/>
      </w:pPr>
      <w:r>
        <w:t xml:space="preserve">It is understood that this application has been forthcoming at the behest of a neighbour, 21 </w:t>
      </w:r>
      <w:proofErr w:type="spellStart"/>
      <w:r>
        <w:t>Charlbury</w:t>
      </w:r>
      <w:proofErr w:type="spellEnd"/>
      <w:r>
        <w:t xml:space="preserve"> Road, who suggested that privacy screens at 1.8m would limit the daylight received by their conservatory.</w:t>
      </w:r>
    </w:p>
    <w:p w14:paraId="2BE53328" w14:textId="77777777" w:rsidR="006B58A3" w:rsidRDefault="006B58A3" w:rsidP="00455020">
      <w:pPr>
        <w:pStyle w:val="HEADINGA"/>
      </w:pPr>
      <w:r>
        <w:t>RELEVANT PLANNING HISTORY</w:t>
      </w:r>
    </w:p>
    <w:p w14:paraId="12E84FF0" w14:textId="77777777" w:rsidR="006B58A3" w:rsidRDefault="006B58A3" w:rsidP="00455020">
      <w:pPr>
        <w:pStyle w:val="PARAGRAPHA"/>
        <w:ind w:left="709" w:hanging="709"/>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6B58A3" w14:paraId="626E8106" w14:textId="77777777">
        <w:tc>
          <w:tcPr>
            <w:tcW w:w="8844" w:type="dxa"/>
          </w:tcPr>
          <w:p w14:paraId="754F6BD2" w14:textId="77777777" w:rsidR="006B58A3" w:rsidRDefault="006B58A3">
            <w:pPr>
              <w:pStyle w:val="CAPS"/>
              <w:rPr>
                <w:rFonts w:ascii="Arial" w:hAnsi="Arial" w:cs="Arial"/>
                <w:sz w:val="24"/>
                <w:szCs w:val="24"/>
              </w:rPr>
            </w:pPr>
          </w:p>
          <w:p w14:paraId="02E85BFE" w14:textId="77777777" w:rsidR="006B58A3" w:rsidRDefault="006B58A3">
            <w:pPr>
              <w:pStyle w:val="CAPS"/>
              <w:rPr>
                <w:rFonts w:ascii="Arial" w:hAnsi="Arial" w:cs="Arial"/>
                <w:sz w:val="24"/>
                <w:szCs w:val="24"/>
              </w:rPr>
            </w:pPr>
            <w:r>
              <w:rPr>
                <w:rFonts w:ascii="Arial" w:hAnsi="Arial" w:cs="Arial"/>
                <w:sz w:val="24"/>
                <w:szCs w:val="24"/>
              </w:rPr>
              <w:t>57/06034/A_H - Conversion and alterations of one flat into two. PER 28th May 1957.</w:t>
            </w:r>
          </w:p>
          <w:p w14:paraId="271DC6C3" w14:textId="77777777" w:rsidR="006B58A3" w:rsidRDefault="006B58A3">
            <w:pPr>
              <w:pStyle w:val="CAPS"/>
              <w:rPr>
                <w:rFonts w:ascii="Arial" w:hAnsi="Arial" w:cs="Arial"/>
                <w:sz w:val="24"/>
                <w:szCs w:val="24"/>
                <w:lang w:val="fr-FR"/>
              </w:rPr>
            </w:pPr>
          </w:p>
          <w:p w14:paraId="3C5EF61E"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61/10251/A_H - Store shed, cycle </w:t>
            </w:r>
            <w:proofErr w:type="spellStart"/>
            <w:r>
              <w:rPr>
                <w:rFonts w:ascii="Arial" w:hAnsi="Arial" w:cs="Arial"/>
                <w:sz w:val="24"/>
                <w:szCs w:val="24"/>
                <w:lang w:val="fr-FR"/>
              </w:rPr>
              <w:t>shelters</w:t>
            </w:r>
            <w:proofErr w:type="spellEnd"/>
            <w:r>
              <w:rPr>
                <w:rFonts w:ascii="Arial" w:hAnsi="Arial" w:cs="Arial"/>
                <w:sz w:val="24"/>
                <w:szCs w:val="24"/>
                <w:lang w:val="fr-FR"/>
              </w:rPr>
              <w:t xml:space="preserve"> and </w:t>
            </w:r>
            <w:proofErr w:type="spellStart"/>
            <w:r>
              <w:rPr>
                <w:rFonts w:ascii="Arial" w:hAnsi="Arial" w:cs="Arial"/>
                <w:sz w:val="24"/>
                <w:szCs w:val="24"/>
                <w:lang w:val="fr-FR"/>
              </w:rPr>
              <w:t>coal</w:t>
            </w:r>
            <w:proofErr w:type="spellEnd"/>
            <w:r>
              <w:rPr>
                <w:rFonts w:ascii="Arial" w:hAnsi="Arial" w:cs="Arial"/>
                <w:sz w:val="24"/>
                <w:szCs w:val="24"/>
                <w:lang w:val="fr-FR"/>
              </w:rPr>
              <w:t xml:space="preserve"> store</w:t>
            </w:r>
            <w:proofErr w:type="gramStart"/>
            <w:r>
              <w:rPr>
                <w:rFonts w:ascii="Arial" w:hAnsi="Arial" w:cs="Arial"/>
                <w:sz w:val="24"/>
                <w:szCs w:val="24"/>
                <w:lang w:val="fr-FR"/>
              </w:rPr>
              <w:t>..</w:t>
            </w:r>
            <w:proofErr w:type="gramEnd"/>
            <w:r>
              <w:rPr>
                <w:rFonts w:ascii="Arial" w:hAnsi="Arial" w:cs="Arial"/>
                <w:sz w:val="24"/>
                <w:szCs w:val="24"/>
                <w:lang w:val="fr-FR"/>
              </w:rPr>
              <w:t xml:space="preserve"> PER 10th </w:t>
            </w:r>
            <w:proofErr w:type="spellStart"/>
            <w:r>
              <w:rPr>
                <w:rFonts w:ascii="Arial" w:hAnsi="Arial" w:cs="Arial"/>
                <w:sz w:val="24"/>
                <w:szCs w:val="24"/>
                <w:lang w:val="fr-FR"/>
              </w:rPr>
              <w:t>January</w:t>
            </w:r>
            <w:proofErr w:type="spellEnd"/>
            <w:r>
              <w:rPr>
                <w:rFonts w:ascii="Arial" w:hAnsi="Arial" w:cs="Arial"/>
                <w:sz w:val="24"/>
                <w:szCs w:val="24"/>
                <w:lang w:val="fr-FR"/>
              </w:rPr>
              <w:t xml:space="preserve"> 1961.</w:t>
            </w:r>
          </w:p>
          <w:p w14:paraId="2214AE1F" w14:textId="77777777" w:rsidR="006B58A3" w:rsidRDefault="006B58A3">
            <w:pPr>
              <w:pStyle w:val="CAPS"/>
              <w:rPr>
                <w:rFonts w:ascii="Arial" w:hAnsi="Arial" w:cs="Arial"/>
                <w:sz w:val="24"/>
                <w:szCs w:val="24"/>
                <w:lang w:val="fr-FR"/>
              </w:rPr>
            </w:pPr>
          </w:p>
          <w:p w14:paraId="0E68B135" w14:textId="77777777" w:rsidR="006B58A3" w:rsidRDefault="006B58A3">
            <w:pPr>
              <w:pStyle w:val="CAPS"/>
              <w:rPr>
                <w:rFonts w:ascii="Arial" w:hAnsi="Arial" w:cs="Arial"/>
                <w:sz w:val="24"/>
                <w:szCs w:val="24"/>
                <w:lang w:val="fr-FR"/>
              </w:rPr>
            </w:pPr>
            <w:r>
              <w:rPr>
                <w:rFonts w:ascii="Arial" w:hAnsi="Arial" w:cs="Arial"/>
                <w:sz w:val="24"/>
                <w:szCs w:val="24"/>
                <w:lang w:val="fr-FR"/>
              </w:rPr>
              <w:lastRenderedPageBreak/>
              <w:t xml:space="preserve">77/00284/AH_H - Conversion of </w:t>
            </w:r>
            <w:proofErr w:type="spellStart"/>
            <w:r>
              <w:rPr>
                <w:rFonts w:ascii="Arial" w:hAnsi="Arial" w:cs="Arial"/>
                <w:sz w:val="24"/>
                <w:szCs w:val="24"/>
                <w:lang w:val="fr-FR"/>
              </w:rPr>
              <w:t>existing</w:t>
            </w:r>
            <w:proofErr w:type="spellEnd"/>
            <w:r>
              <w:rPr>
                <w:rFonts w:ascii="Arial" w:hAnsi="Arial" w:cs="Arial"/>
                <w:sz w:val="24"/>
                <w:szCs w:val="24"/>
                <w:lang w:val="fr-FR"/>
              </w:rPr>
              <w:t xml:space="preserve"> 1 flat </w:t>
            </w:r>
            <w:proofErr w:type="spellStart"/>
            <w:r>
              <w:rPr>
                <w:rFonts w:ascii="Arial" w:hAnsi="Arial" w:cs="Arial"/>
                <w:sz w:val="24"/>
                <w:szCs w:val="24"/>
                <w:lang w:val="fr-FR"/>
              </w:rPr>
              <w:t>into</w:t>
            </w:r>
            <w:proofErr w:type="spellEnd"/>
            <w:r>
              <w:rPr>
                <w:rFonts w:ascii="Arial" w:hAnsi="Arial" w:cs="Arial"/>
                <w:sz w:val="24"/>
                <w:szCs w:val="24"/>
                <w:lang w:val="fr-FR"/>
              </w:rPr>
              <w:t xml:space="preserve"> 3 self-</w:t>
            </w:r>
            <w:proofErr w:type="spellStart"/>
            <w:r>
              <w:rPr>
                <w:rFonts w:ascii="Arial" w:hAnsi="Arial" w:cs="Arial"/>
                <w:sz w:val="24"/>
                <w:szCs w:val="24"/>
                <w:lang w:val="fr-FR"/>
              </w:rPr>
              <w:t>contained</w:t>
            </w:r>
            <w:proofErr w:type="spellEnd"/>
            <w:r>
              <w:rPr>
                <w:rFonts w:ascii="Arial" w:hAnsi="Arial" w:cs="Arial"/>
                <w:sz w:val="24"/>
                <w:szCs w:val="24"/>
                <w:lang w:val="fr-FR"/>
              </w:rPr>
              <w:t xml:space="preserve"> flats</w:t>
            </w:r>
            <w:proofErr w:type="gramStart"/>
            <w:r>
              <w:rPr>
                <w:rFonts w:ascii="Arial" w:hAnsi="Arial" w:cs="Arial"/>
                <w:sz w:val="24"/>
                <w:szCs w:val="24"/>
                <w:lang w:val="fr-FR"/>
              </w:rPr>
              <w:t>..</w:t>
            </w:r>
            <w:proofErr w:type="gramEnd"/>
            <w:r>
              <w:rPr>
                <w:rFonts w:ascii="Arial" w:hAnsi="Arial" w:cs="Arial"/>
                <w:sz w:val="24"/>
                <w:szCs w:val="24"/>
                <w:lang w:val="fr-FR"/>
              </w:rPr>
              <w:t xml:space="preserve"> PER 16th </w:t>
            </w:r>
            <w:proofErr w:type="spellStart"/>
            <w:r>
              <w:rPr>
                <w:rFonts w:ascii="Arial" w:hAnsi="Arial" w:cs="Arial"/>
                <w:sz w:val="24"/>
                <w:szCs w:val="24"/>
                <w:lang w:val="fr-FR"/>
              </w:rPr>
              <w:t>June</w:t>
            </w:r>
            <w:proofErr w:type="spellEnd"/>
            <w:r>
              <w:rPr>
                <w:rFonts w:ascii="Arial" w:hAnsi="Arial" w:cs="Arial"/>
                <w:sz w:val="24"/>
                <w:szCs w:val="24"/>
                <w:lang w:val="fr-FR"/>
              </w:rPr>
              <w:t xml:space="preserve"> 1977.</w:t>
            </w:r>
          </w:p>
          <w:p w14:paraId="6162FED7" w14:textId="77777777" w:rsidR="006B58A3" w:rsidRDefault="006B58A3">
            <w:pPr>
              <w:pStyle w:val="CAPS"/>
              <w:rPr>
                <w:rFonts w:ascii="Arial" w:hAnsi="Arial" w:cs="Arial"/>
                <w:sz w:val="24"/>
                <w:szCs w:val="24"/>
                <w:lang w:val="fr-FR"/>
              </w:rPr>
            </w:pPr>
          </w:p>
          <w:p w14:paraId="2DD76DFA"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17/02109/FUL - Partial </w:t>
            </w:r>
            <w:proofErr w:type="spellStart"/>
            <w:r>
              <w:rPr>
                <w:rFonts w:ascii="Arial" w:hAnsi="Arial" w:cs="Arial"/>
                <w:sz w:val="24"/>
                <w:szCs w:val="24"/>
                <w:lang w:val="fr-FR"/>
              </w:rPr>
              <w:t>demolition</w:t>
            </w:r>
            <w:proofErr w:type="spellEnd"/>
            <w:r>
              <w:rPr>
                <w:rFonts w:ascii="Arial" w:hAnsi="Arial" w:cs="Arial"/>
                <w:sz w:val="24"/>
                <w:szCs w:val="24"/>
                <w:lang w:val="fr-FR"/>
              </w:rPr>
              <w:t xml:space="preserve"> of </w:t>
            </w:r>
            <w:proofErr w:type="spellStart"/>
            <w:r>
              <w:rPr>
                <w:rFonts w:ascii="Arial" w:hAnsi="Arial" w:cs="Arial"/>
                <w:sz w:val="24"/>
                <w:szCs w:val="24"/>
                <w:lang w:val="fr-FR"/>
              </w:rPr>
              <w:t>existing</w:t>
            </w:r>
            <w:proofErr w:type="spellEnd"/>
            <w:r>
              <w:rPr>
                <w:rFonts w:ascii="Arial" w:hAnsi="Arial" w:cs="Arial"/>
                <w:sz w:val="24"/>
                <w:szCs w:val="24"/>
                <w:lang w:val="fr-FR"/>
              </w:rPr>
              <w:t xml:space="preserve"> building, </w:t>
            </w:r>
            <w:proofErr w:type="spellStart"/>
            <w:r>
              <w:rPr>
                <w:rFonts w:ascii="Arial" w:hAnsi="Arial" w:cs="Arial"/>
                <w:sz w:val="24"/>
                <w:szCs w:val="24"/>
                <w:lang w:val="fr-FR"/>
              </w:rPr>
              <w:t>alteration</w:t>
            </w:r>
            <w:proofErr w:type="spellEnd"/>
            <w:r>
              <w:rPr>
                <w:rFonts w:ascii="Arial" w:hAnsi="Arial" w:cs="Arial"/>
                <w:sz w:val="24"/>
                <w:szCs w:val="24"/>
                <w:lang w:val="fr-FR"/>
              </w:rPr>
              <w:t xml:space="preserve"> and extension to </w:t>
            </w:r>
            <w:proofErr w:type="spellStart"/>
            <w:r>
              <w:rPr>
                <w:rFonts w:ascii="Arial" w:hAnsi="Arial" w:cs="Arial"/>
                <w:sz w:val="24"/>
                <w:szCs w:val="24"/>
                <w:lang w:val="fr-FR"/>
              </w:rPr>
              <w:t>create</w:t>
            </w:r>
            <w:proofErr w:type="spellEnd"/>
            <w:r>
              <w:rPr>
                <w:rFonts w:ascii="Arial" w:hAnsi="Arial" w:cs="Arial"/>
                <w:sz w:val="24"/>
                <w:szCs w:val="24"/>
                <w:lang w:val="fr-FR"/>
              </w:rPr>
              <w:t xml:space="preserve"> a new </w:t>
            </w:r>
            <w:proofErr w:type="spellStart"/>
            <w:r>
              <w:rPr>
                <w:rFonts w:ascii="Arial" w:hAnsi="Arial" w:cs="Arial"/>
                <w:sz w:val="24"/>
                <w:szCs w:val="24"/>
                <w:lang w:val="fr-FR"/>
              </w:rPr>
              <w:t>link</w:t>
            </w:r>
            <w:proofErr w:type="spellEnd"/>
            <w:r>
              <w:rPr>
                <w:rFonts w:ascii="Arial" w:hAnsi="Arial" w:cs="Arial"/>
                <w:sz w:val="24"/>
                <w:szCs w:val="24"/>
                <w:lang w:val="fr-FR"/>
              </w:rPr>
              <w:t xml:space="preserve">, </w:t>
            </w:r>
            <w:proofErr w:type="spellStart"/>
            <w:r>
              <w:rPr>
                <w:rFonts w:ascii="Arial" w:hAnsi="Arial" w:cs="Arial"/>
                <w:sz w:val="24"/>
                <w:szCs w:val="24"/>
                <w:lang w:val="fr-FR"/>
              </w:rPr>
              <w:t>rear</w:t>
            </w:r>
            <w:proofErr w:type="spellEnd"/>
            <w:r>
              <w:rPr>
                <w:rFonts w:ascii="Arial" w:hAnsi="Arial" w:cs="Arial"/>
                <w:sz w:val="24"/>
                <w:szCs w:val="24"/>
                <w:lang w:val="fr-FR"/>
              </w:rPr>
              <w:t xml:space="preserve"> extension and provision of bin and cycle stores. </w:t>
            </w:r>
            <w:proofErr w:type="spellStart"/>
            <w:r>
              <w:rPr>
                <w:rFonts w:ascii="Arial" w:hAnsi="Arial" w:cs="Arial"/>
                <w:sz w:val="24"/>
                <w:szCs w:val="24"/>
                <w:lang w:val="fr-FR"/>
              </w:rPr>
              <w:t>Removal</w:t>
            </w:r>
            <w:proofErr w:type="spellEnd"/>
            <w:r>
              <w:rPr>
                <w:rFonts w:ascii="Arial" w:hAnsi="Arial" w:cs="Arial"/>
                <w:sz w:val="24"/>
                <w:szCs w:val="24"/>
                <w:lang w:val="fr-FR"/>
              </w:rPr>
              <w:t xml:space="preserve"> of </w:t>
            </w:r>
            <w:proofErr w:type="spellStart"/>
            <w:r>
              <w:rPr>
                <w:rFonts w:ascii="Arial" w:hAnsi="Arial" w:cs="Arial"/>
                <w:sz w:val="24"/>
                <w:szCs w:val="24"/>
                <w:lang w:val="fr-FR"/>
              </w:rPr>
              <w:t>trees</w:t>
            </w:r>
            <w:proofErr w:type="spellEnd"/>
            <w:r>
              <w:rPr>
                <w:rFonts w:ascii="Arial" w:hAnsi="Arial" w:cs="Arial"/>
                <w:sz w:val="24"/>
                <w:szCs w:val="24"/>
                <w:lang w:val="fr-FR"/>
              </w:rPr>
              <w:t xml:space="preserve"> and </w:t>
            </w:r>
            <w:proofErr w:type="spellStart"/>
            <w:r>
              <w:rPr>
                <w:rFonts w:ascii="Arial" w:hAnsi="Arial" w:cs="Arial"/>
                <w:sz w:val="24"/>
                <w:szCs w:val="24"/>
                <w:lang w:val="fr-FR"/>
              </w:rPr>
              <w:t>landscaping</w:t>
            </w:r>
            <w:proofErr w:type="spellEnd"/>
            <w:r>
              <w:rPr>
                <w:rFonts w:ascii="Arial" w:hAnsi="Arial" w:cs="Arial"/>
                <w:sz w:val="24"/>
                <w:szCs w:val="24"/>
                <w:lang w:val="fr-FR"/>
              </w:rPr>
              <w:t>.  (</w:t>
            </w:r>
            <w:proofErr w:type="spellStart"/>
            <w:r>
              <w:rPr>
                <w:rFonts w:ascii="Arial" w:hAnsi="Arial" w:cs="Arial"/>
                <w:sz w:val="24"/>
                <w:szCs w:val="24"/>
                <w:lang w:val="fr-FR"/>
              </w:rPr>
              <w:t>amended</w:t>
            </w:r>
            <w:proofErr w:type="spellEnd"/>
            <w:r>
              <w:rPr>
                <w:rFonts w:ascii="Arial" w:hAnsi="Arial" w:cs="Arial"/>
                <w:sz w:val="24"/>
                <w:szCs w:val="24"/>
                <w:lang w:val="fr-FR"/>
              </w:rPr>
              <w:t xml:space="preserve"> plans). PER 19th </w:t>
            </w:r>
            <w:proofErr w:type="spellStart"/>
            <w:r>
              <w:rPr>
                <w:rFonts w:ascii="Arial" w:hAnsi="Arial" w:cs="Arial"/>
                <w:sz w:val="24"/>
                <w:szCs w:val="24"/>
                <w:lang w:val="fr-FR"/>
              </w:rPr>
              <w:t>December</w:t>
            </w:r>
            <w:proofErr w:type="spellEnd"/>
            <w:r>
              <w:rPr>
                <w:rFonts w:ascii="Arial" w:hAnsi="Arial" w:cs="Arial"/>
                <w:sz w:val="24"/>
                <w:szCs w:val="24"/>
                <w:lang w:val="fr-FR"/>
              </w:rPr>
              <w:t xml:space="preserve"> 2017.</w:t>
            </w:r>
          </w:p>
          <w:p w14:paraId="3CA2CA91" w14:textId="77777777" w:rsidR="006B58A3" w:rsidRDefault="006B58A3">
            <w:pPr>
              <w:pStyle w:val="CAPS"/>
              <w:rPr>
                <w:rFonts w:ascii="Arial" w:hAnsi="Arial" w:cs="Arial"/>
                <w:sz w:val="24"/>
                <w:szCs w:val="24"/>
                <w:lang w:val="fr-FR"/>
              </w:rPr>
            </w:pPr>
          </w:p>
          <w:p w14:paraId="4C41DFBC"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17/02109/CND - </w:t>
            </w:r>
            <w:proofErr w:type="spellStart"/>
            <w:r>
              <w:rPr>
                <w:rFonts w:ascii="Arial" w:hAnsi="Arial" w:cs="Arial"/>
                <w:sz w:val="24"/>
                <w:szCs w:val="24"/>
                <w:lang w:val="fr-FR"/>
              </w:rPr>
              <w:t>Details</w:t>
            </w:r>
            <w:proofErr w:type="spellEnd"/>
            <w:r>
              <w:rPr>
                <w:rFonts w:ascii="Arial" w:hAnsi="Arial" w:cs="Arial"/>
                <w:sz w:val="24"/>
                <w:szCs w:val="24"/>
                <w:lang w:val="fr-FR"/>
              </w:rPr>
              <w:t xml:space="preserve"> </w:t>
            </w:r>
            <w:proofErr w:type="spellStart"/>
            <w:r>
              <w:rPr>
                <w:rFonts w:ascii="Arial" w:hAnsi="Arial" w:cs="Arial"/>
                <w:sz w:val="24"/>
                <w:szCs w:val="24"/>
                <w:lang w:val="fr-FR"/>
              </w:rPr>
              <w:t>submitted</w:t>
            </w:r>
            <w:proofErr w:type="spellEnd"/>
            <w:r>
              <w:rPr>
                <w:rFonts w:ascii="Arial" w:hAnsi="Arial" w:cs="Arial"/>
                <w:sz w:val="24"/>
                <w:szCs w:val="24"/>
                <w:lang w:val="fr-FR"/>
              </w:rPr>
              <w:t xml:space="preserve"> in compliance of conditions 3(</w:t>
            </w:r>
            <w:proofErr w:type="spellStart"/>
            <w:r>
              <w:rPr>
                <w:rFonts w:ascii="Arial" w:hAnsi="Arial" w:cs="Arial"/>
                <w:sz w:val="24"/>
                <w:szCs w:val="24"/>
                <w:lang w:val="fr-FR"/>
              </w:rPr>
              <w:t>Materials</w:t>
            </w:r>
            <w:proofErr w:type="spellEnd"/>
            <w:r>
              <w:rPr>
                <w:rFonts w:ascii="Arial" w:hAnsi="Arial" w:cs="Arial"/>
                <w:sz w:val="24"/>
                <w:szCs w:val="24"/>
                <w:lang w:val="fr-FR"/>
              </w:rPr>
              <w:t xml:space="preserve"> - </w:t>
            </w:r>
            <w:proofErr w:type="spellStart"/>
            <w:r>
              <w:rPr>
                <w:rFonts w:ascii="Arial" w:hAnsi="Arial" w:cs="Arial"/>
                <w:sz w:val="24"/>
                <w:szCs w:val="24"/>
                <w:lang w:val="fr-FR"/>
              </w:rPr>
              <w:t>samples</w:t>
            </w:r>
            <w:proofErr w:type="spellEnd"/>
            <w:r>
              <w:rPr>
                <w:rFonts w:ascii="Arial" w:hAnsi="Arial" w:cs="Arial"/>
                <w:sz w:val="24"/>
                <w:szCs w:val="24"/>
                <w:lang w:val="fr-FR"/>
              </w:rPr>
              <w:t>), 5(</w:t>
            </w:r>
            <w:proofErr w:type="spellStart"/>
            <w:r>
              <w:rPr>
                <w:rFonts w:ascii="Arial" w:hAnsi="Arial" w:cs="Arial"/>
                <w:sz w:val="24"/>
                <w:szCs w:val="24"/>
                <w:lang w:val="fr-FR"/>
              </w:rPr>
              <w:t>Landscape</w:t>
            </w:r>
            <w:proofErr w:type="spellEnd"/>
            <w:r>
              <w:rPr>
                <w:rFonts w:ascii="Arial" w:hAnsi="Arial" w:cs="Arial"/>
                <w:sz w:val="24"/>
                <w:szCs w:val="24"/>
                <w:lang w:val="fr-FR"/>
              </w:rPr>
              <w:t xml:space="preserve"> Plan </w:t>
            </w:r>
            <w:proofErr w:type="spellStart"/>
            <w:r>
              <w:rPr>
                <w:rFonts w:ascii="Arial" w:hAnsi="Arial" w:cs="Arial"/>
                <w:sz w:val="24"/>
                <w:szCs w:val="24"/>
                <w:lang w:val="fr-FR"/>
              </w:rPr>
              <w:t>Required</w:t>
            </w:r>
            <w:proofErr w:type="spellEnd"/>
            <w:r>
              <w:rPr>
                <w:rFonts w:ascii="Arial" w:hAnsi="Arial" w:cs="Arial"/>
                <w:sz w:val="24"/>
                <w:szCs w:val="24"/>
                <w:lang w:val="fr-FR"/>
              </w:rPr>
              <w:t>), 9</w:t>
            </w:r>
            <w:proofErr w:type="gramStart"/>
            <w:r>
              <w:rPr>
                <w:rFonts w:ascii="Arial" w:hAnsi="Arial" w:cs="Arial"/>
                <w:sz w:val="24"/>
                <w:szCs w:val="24"/>
                <w:lang w:val="fr-FR"/>
              </w:rPr>
              <w:t xml:space="preserve">( </w:t>
            </w:r>
            <w:proofErr w:type="spellStart"/>
            <w:r>
              <w:rPr>
                <w:rFonts w:ascii="Arial" w:hAnsi="Arial" w:cs="Arial"/>
                <w:sz w:val="24"/>
                <w:szCs w:val="24"/>
                <w:lang w:val="fr-FR"/>
              </w:rPr>
              <w:t>Biodiversity</w:t>
            </w:r>
            <w:proofErr w:type="spellEnd"/>
            <w:proofErr w:type="gramEnd"/>
            <w:r>
              <w:rPr>
                <w:rFonts w:ascii="Arial" w:hAnsi="Arial" w:cs="Arial"/>
                <w:sz w:val="24"/>
                <w:szCs w:val="24"/>
                <w:lang w:val="fr-FR"/>
              </w:rPr>
              <w:t xml:space="preserve"> </w:t>
            </w:r>
            <w:proofErr w:type="spellStart"/>
            <w:r>
              <w:rPr>
                <w:rFonts w:ascii="Arial" w:hAnsi="Arial" w:cs="Arial"/>
                <w:sz w:val="24"/>
                <w:szCs w:val="24"/>
                <w:lang w:val="fr-FR"/>
              </w:rPr>
              <w:t>Enhancement</w:t>
            </w:r>
            <w:proofErr w:type="spellEnd"/>
            <w:r>
              <w:rPr>
                <w:rFonts w:ascii="Arial" w:hAnsi="Arial" w:cs="Arial"/>
                <w:sz w:val="24"/>
                <w:szCs w:val="24"/>
                <w:lang w:val="fr-FR"/>
              </w:rPr>
              <w:t>), 11(Cycle Storage), 12(Drainage), 13(</w:t>
            </w:r>
            <w:proofErr w:type="spellStart"/>
            <w:r>
              <w:rPr>
                <w:rFonts w:ascii="Arial" w:hAnsi="Arial" w:cs="Arial"/>
                <w:sz w:val="24"/>
                <w:szCs w:val="24"/>
                <w:lang w:val="fr-FR"/>
              </w:rPr>
              <w:t>Privacy</w:t>
            </w:r>
            <w:proofErr w:type="spellEnd"/>
            <w:r>
              <w:rPr>
                <w:rFonts w:ascii="Arial" w:hAnsi="Arial" w:cs="Arial"/>
                <w:sz w:val="24"/>
                <w:szCs w:val="24"/>
                <w:lang w:val="fr-FR"/>
              </w:rPr>
              <w:t xml:space="preserve"> Screening) and 14(</w:t>
            </w:r>
            <w:proofErr w:type="spellStart"/>
            <w:r>
              <w:rPr>
                <w:rFonts w:ascii="Arial" w:hAnsi="Arial" w:cs="Arial"/>
                <w:sz w:val="24"/>
                <w:szCs w:val="24"/>
                <w:lang w:val="fr-FR"/>
              </w:rPr>
              <w:t>External</w:t>
            </w:r>
            <w:proofErr w:type="spellEnd"/>
            <w:r>
              <w:rPr>
                <w:rFonts w:ascii="Arial" w:hAnsi="Arial" w:cs="Arial"/>
                <w:sz w:val="24"/>
                <w:szCs w:val="24"/>
                <w:lang w:val="fr-FR"/>
              </w:rPr>
              <w:t xml:space="preserve"> </w:t>
            </w:r>
            <w:proofErr w:type="spellStart"/>
            <w:r>
              <w:rPr>
                <w:rFonts w:ascii="Arial" w:hAnsi="Arial" w:cs="Arial"/>
                <w:sz w:val="24"/>
                <w:szCs w:val="24"/>
                <w:lang w:val="fr-FR"/>
              </w:rPr>
              <w:t>Lighting</w:t>
            </w:r>
            <w:proofErr w:type="spellEnd"/>
            <w:r>
              <w:rPr>
                <w:rFonts w:ascii="Arial" w:hAnsi="Arial" w:cs="Arial"/>
                <w:sz w:val="24"/>
                <w:szCs w:val="24"/>
                <w:lang w:val="fr-FR"/>
              </w:rPr>
              <w:t xml:space="preserve">) of planning permission 17/02109/FUL.. PER 18th </w:t>
            </w:r>
            <w:proofErr w:type="spellStart"/>
            <w:r>
              <w:rPr>
                <w:rFonts w:ascii="Arial" w:hAnsi="Arial" w:cs="Arial"/>
                <w:sz w:val="24"/>
                <w:szCs w:val="24"/>
                <w:lang w:val="fr-FR"/>
              </w:rPr>
              <w:t>December</w:t>
            </w:r>
            <w:proofErr w:type="spellEnd"/>
            <w:r>
              <w:rPr>
                <w:rFonts w:ascii="Arial" w:hAnsi="Arial" w:cs="Arial"/>
                <w:sz w:val="24"/>
                <w:szCs w:val="24"/>
                <w:lang w:val="fr-FR"/>
              </w:rPr>
              <w:t xml:space="preserve"> 2018.</w:t>
            </w:r>
          </w:p>
          <w:p w14:paraId="16311EF1" w14:textId="77777777" w:rsidR="006B58A3" w:rsidRDefault="006B58A3">
            <w:pPr>
              <w:pStyle w:val="CAPS"/>
              <w:rPr>
                <w:rFonts w:ascii="Arial" w:hAnsi="Arial" w:cs="Arial"/>
                <w:sz w:val="24"/>
                <w:szCs w:val="24"/>
                <w:lang w:val="fr-FR"/>
              </w:rPr>
            </w:pPr>
          </w:p>
          <w:p w14:paraId="757CCFC0" w14:textId="77777777" w:rsidR="006B58A3" w:rsidRDefault="006B58A3">
            <w:pPr>
              <w:pStyle w:val="CAPS"/>
              <w:rPr>
                <w:rFonts w:ascii="Arial" w:hAnsi="Arial" w:cs="Arial"/>
                <w:sz w:val="24"/>
                <w:szCs w:val="24"/>
                <w:lang w:val="fr-FR"/>
              </w:rPr>
            </w:pPr>
            <w:r>
              <w:rPr>
                <w:rFonts w:ascii="Arial" w:hAnsi="Arial" w:cs="Arial"/>
                <w:sz w:val="24"/>
                <w:szCs w:val="24"/>
                <w:lang w:val="fr-FR"/>
              </w:rPr>
              <w:t>17/02109/NMA - Non-</w:t>
            </w:r>
            <w:proofErr w:type="spellStart"/>
            <w:r>
              <w:rPr>
                <w:rFonts w:ascii="Arial" w:hAnsi="Arial" w:cs="Arial"/>
                <w:sz w:val="24"/>
                <w:szCs w:val="24"/>
                <w:lang w:val="fr-FR"/>
              </w:rPr>
              <w:t>Material</w:t>
            </w:r>
            <w:proofErr w:type="spellEnd"/>
            <w:r>
              <w:rPr>
                <w:rFonts w:ascii="Arial" w:hAnsi="Arial" w:cs="Arial"/>
                <w:sz w:val="24"/>
                <w:szCs w:val="24"/>
                <w:lang w:val="fr-FR"/>
              </w:rPr>
              <w:t xml:space="preserve"> </w:t>
            </w:r>
            <w:proofErr w:type="spellStart"/>
            <w:r>
              <w:rPr>
                <w:rFonts w:ascii="Arial" w:hAnsi="Arial" w:cs="Arial"/>
                <w:sz w:val="24"/>
                <w:szCs w:val="24"/>
                <w:lang w:val="fr-FR"/>
              </w:rPr>
              <w:t>Amendment</w:t>
            </w:r>
            <w:proofErr w:type="spellEnd"/>
            <w:r>
              <w:rPr>
                <w:rFonts w:ascii="Arial" w:hAnsi="Arial" w:cs="Arial"/>
                <w:sz w:val="24"/>
                <w:szCs w:val="24"/>
                <w:lang w:val="fr-FR"/>
              </w:rPr>
              <w:t xml:space="preserve"> of planning permission 17/02109/FUL to </w:t>
            </w:r>
            <w:proofErr w:type="spellStart"/>
            <w:r>
              <w:rPr>
                <w:rFonts w:ascii="Arial" w:hAnsi="Arial" w:cs="Arial"/>
                <w:sz w:val="24"/>
                <w:szCs w:val="24"/>
                <w:lang w:val="fr-FR"/>
              </w:rPr>
              <w:t>allow</w:t>
            </w:r>
            <w:proofErr w:type="spellEnd"/>
            <w:r>
              <w:rPr>
                <w:rFonts w:ascii="Arial" w:hAnsi="Arial" w:cs="Arial"/>
                <w:sz w:val="24"/>
                <w:szCs w:val="24"/>
                <w:lang w:val="fr-FR"/>
              </w:rPr>
              <w:t xml:space="preserve"> </w:t>
            </w:r>
            <w:proofErr w:type="spellStart"/>
            <w:r>
              <w:rPr>
                <w:rFonts w:ascii="Arial" w:hAnsi="Arial" w:cs="Arial"/>
                <w:sz w:val="24"/>
                <w:szCs w:val="24"/>
                <w:lang w:val="fr-FR"/>
              </w:rPr>
              <w:t>improvement</w:t>
            </w:r>
            <w:proofErr w:type="spellEnd"/>
            <w:r>
              <w:rPr>
                <w:rFonts w:ascii="Arial" w:hAnsi="Arial" w:cs="Arial"/>
                <w:sz w:val="24"/>
                <w:szCs w:val="24"/>
                <w:lang w:val="fr-FR"/>
              </w:rPr>
              <w:t xml:space="preserve"> to </w:t>
            </w:r>
            <w:proofErr w:type="spellStart"/>
            <w:r>
              <w:rPr>
                <w:rFonts w:ascii="Arial" w:hAnsi="Arial" w:cs="Arial"/>
                <w:sz w:val="24"/>
                <w:szCs w:val="24"/>
                <w:lang w:val="fr-FR"/>
              </w:rPr>
              <w:t>access</w:t>
            </w:r>
            <w:proofErr w:type="spellEnd"/>
            <w:r>
              <w:rPr>
                <w:rFonts w:ascii="Arial" w:hAnsi="Arial" w:cs="Arial"/>
                <w:sz w:val="24"/>
                <w:szCs w:val="24"/>
                <w:lang w:val="fr-FR"/>
              </w:rPr>
              <w:t xml:space="preserve"> and circulation </w:t>
            </w:r>
            <w:proofErr w:type="spellStart"/>
            <w:r>
              <w:rPr>
                <w:rFonts w:ascii="Arial" w:hAnsi="Arial" w:cs="Arial"/>
                <w:sz w:val="24"/>
                <w:szCs w:val="24"/>
                <w:lang w:val="fr-FR"/>
              </w:rPr>
              <w:t>around</w:t>
            </w:r>
            <w:proofErr w:type="spellEnd"/>
            <w:r>
              <w:rPr>
                <w:rFonts w:ascii="Arial" w:hAnsi="Arial" w:cs="Arial"/>
                <w:sz w:val="24"/>
                <w:szCs w:val="24"/>
                <w:lang w:val="fr-FR"/>
              </w:rPr>
              <w:t xml:space="preserve"> the building, </w:t>
            </w:r>
            <w:proofErr w:type="spellStart"/>
            <w:r>
              <w:rPr>
                <w:rFonts w:ascii="Arial" w:hAnsi="Arial" w:cs="Arial"/>
                <w:sz w:val="24"/>
                <w:szCs w:val="24"/>
                <w:lang w:val="fr-FR"/>
              </w:rPr>
              <w:t>comply</w:t>
            </w:r>
            <w:proofErr w:type="spellEnd"/>
            <w:r>
              <w:rPr>
                <w:rFonts w:ascii="Arial" w:hAnsi="Arial" w:cs="Arial"/>
                <w:sz w:val="24"/>
                <w:szCs w:val="24"/>
                <w:lang w:val="fr-FR"/>
              </w:rPr>
              <w:t xml:space="preserve"> </w:t>
            </w:r>
            <w:proofErr w:type="spellStart"/>
            <w:r>
              <w:rPr>
                <w:rFonts w:ascii="Arial" w:hAnsi="Arial" w:cs="Arial"/>
                <w:sz w:val="24"/>
                <w:szCs w:val="24"/>
                <w:lang w:val="fr-FR"/>
              </w:rPr>
              <w:t>with</w:t>
            </w:r>
            <w:proofErr w:type="spellEnd"/>
            <w:r>
              <w:rPr>
                <w:rFonts w:ascii="Arial" w:hAnsi="Arial" w:cs="Arial"/>
                <w:sz w:val="24"/>
                <w:szCs w:val="24"/>
                <w:lang w:val="fr-FR"/>
              </w:rPr>
              <w:t xml:space="preserve"> building </w:t>
            </w:r>
            <w:proofErr w:type="spellStart"/>
            <w:r>
              <w:rPr>
                <w:rFonts w:ascii="Arial" w:hAnsi="Arial" w:cs="Arial"/>
                <w:sz w:val="24"/>
                <w:szCs w:val="24"/>
                <w:lang w:val="fr-FR"/>
              </w:rPr>
              <w:t>regulations</w:t>
            </w:r>
            <w:proofErr w:type="spellEnd"/>
            <w:r>
              <w:rPr>
                <w:rFonts w:ascii="Arial" w:hAnsi="Arial" w:cs="Arial"/>
                <w:sz w:val="24"/>
                <w:szCs w:val="24"/>
                <w:lang w:val="fr-FR"/>
              </w:rPr>
              <w:t xml:space="preserve"> and </w:t>
            </w:r>
            <w:proofErr w:type="spellStart"/>
            <w:r>
              <w:rPr>
                <w:rFonts w:ascii="Arial" w:hAnsi="Arial" w:cs="Arial"/>
                <w:sz w:val="24"/>
                <w:szCs w:val="24"/>
                <w:lang w:val="fr-FR"/>
              </w:rPr>
              <w:t>improve</w:t>
            </w:r>
            <w:proofErr w:type="spellEnd"/>
            <w:r>
              <w:rPr>
                <w:rFonts w:ascii="Arial" w:hAnsi="Arial" w:cs="Arial"/>
                <w:sz w:val="24"/>
                <w:szCs w:val="24"/>
                <w:lang w:val="fr-FR"/>
              </w:rPr>
              <w:t xml:space="preserve"> the </w:t>
            </w:r>
            <w:proofErr w:type="spellStart"/>
            <w:r>
              <w:rPr>
                <w:rFonts w:ascii="Arial" w:hAnsi="Arial" w:cs="Arial"/>
                <w:sz w:val="24"/>
                <w:szCs w:val="24"/>
                <w:lang w:val="fr-FR"/>
              </w:rPr>
              <w:t>natural</w:t>
            </w:r>
            <w:proofErr w:type="spellEnd"/>
            <w:r>
              <w:rPr>
                <w:rFonts w:ascii="Arial" w:hAnsi="Arial" w:cs="Arial"/>
                <w:sz w:val="24"/>
                <w:szCs w:val="24"/>
                <w:lang w:val="fr-FR"/>
              </w:rPr>
              <w:t xml:space="preserve"> light </w:t>
            </w:r>
            <w:proofErr w:type="spellStart"/>
            <w:r>
              <w:rPr>
                <w:rFonts w:ascii="Arial" w:hAnsi="Arial" w:cs="Arial"/>
                <w:sz w:val="24"/>
                <w:szCs w:val="24"/>
                <w:lang w:val="fr-FR"/>
              </w:rPr>
              <w:t>received</w:t>
            </w:r>
            <w:proofErr w:type="spellEnd"/>
            <w:r>
              <w:rPr>
                <w:rFonts w:ascii="Arial" w:hAnsi="Arial" w:cs="Arial"/>
                <w:sz w:val="24"/>
                <w:szCs w:val="24"/>
                <w:lang w:val="fr-FR"/>
              </w:rPr>
              <w:t xml:space="preserve"> to a </w:t>
            </w:r>
            <w:proofErr w:type="spellStart"/>
            <w:r>
              <w:rPr>
                <w:rFonts w:ascii="Arial" w:hAnsi="Arial" w:cs="Arial"/>
                <w:sz w:val="24"/>
                <w:szCs w:val="24"/>
                <w:lang w:val="fr-FR"/>
              </w:rPr>
              <w:t>number</w:t>
            </w:r>
            <w:proofErr w:type="spellEnd"/>
            <w:r>
              <w:rPr>
                <w:rFonts w:ascii="Arial" w:hAnsi="Arial" w:cs="Arial"/>
                <w:sz w:val="24"/>
                <w:szCs w:val="24"/>
                <w:lang w:val="fr-FR"/>
              </w:rPr>
              <w:t xml:space="preserve"> of </w:t>
            </w:r>
            <w:proofErr w:type="spellStart"/>
            <w:r>
              <w:rPr>
                <w:rFonts w:ascii="Arial" w:hAnsi="Arial" w:cs="Arial"/>
                <w:sz w:val="24"/>
                <w:szCs w:val="24"/>
                <w:lang w:val="fr-FR"/>
              </w:rPr>
              <w:t>rooms</w:t>
            </w:r>
            <w:proofErr w:type="spellEnd"/>
            <w:r>
              <w:rPr>
                <w:rFonts w:ascii="Arial" w:hAnsi="Arial" w:cs="Arial"/>
                <w:sz w:val="24"/>
                <w:szCs w:val="24"/>
                <w:lang w:val="fr-FR"/>
              </w:rPr>
              <w:t xml:space="preserve">.. REF 12th </w:t>
            </w:r>
            <w:proofErr w:type="spellStart"/>
            <w:r>
              <w:rPr>
                <w:rFonts w:ascii="Arial" w:hAnsi="Arial" w:cs="Arial"/>
                <w:sz w:val="24"/>
                <w:szCs w:val="24"/>
                <w:lang w:val="fr-FR"/>
              </w:rPr>
              <w:t>September</w:t>
            </w:r>
            <w:proofErr w:type="spellEnd"/>
            <w:r>
              <w:rPr>
                <w:rFonts w:ascii="Arial" w:hAnsi="Arial" w:cs="Arial"/>
                <w:sz w:val="24"/>
                <w:szCs w:val="24"/>
                <w:lang w:val="fr-FR"/>
              </w:rPr>
              <w:t xml:space="preserve"> 2018.</w:t>
            </w:r>
          </w:p>
          <w:p w14:paraId="503AEE89" w14:textId="77777777" w:rsidR="006B58A3" w:rsidRDefault="006B58A3">
            <w:pPr>
              <w:pStyle w:val="CAPS"/>
              <w:rPr>
                <w:rFonts w:ascii="Arial" w:hAnsi="Arial" w:cs="Arial"/>
                <w:sz w:val="24"/>
                <w:szCs w:val="24"/>
                <w:lang w:val="fr-FR"/>
              </w:rPr>
            </w:pPr>
          </w:p>
          <w:p w14:paraId="7FDDEC49" w14:textId="77777777" w:rsidR="006B58A3" w:rsidRDefault="006B58A3">
            <w:pPr>
              <w:pStyle w:val="CAPS"/>
              <w:rPr>
                <w:rFonts w:ascii="Arial" w:hAnsi="Arial" w:cs="Arial"/>
                <w:sz w:val="24"/>
                <w:szCs w:val="24"/>
                <w:lang w:val="fr-FR"/>
              </w:rPr>
            </w:pPr>
            <w:r>
              <w:rPr>
                <w:rFonts w:ascii="Arial" w:hAnsi="Arial" w:cs="Arial"/>
                <w:sz w:val="24"/>
                <w:szCs w:val="24"/>
                <w:lang w:val="fr-FR"/>
              </w:rPr>
              <w:t>19/00168/VAR - Variation of condition 2(</w:t>
            </w:r>
            <w:proofErr w:type="spellStart"/>
            <w:r>
              <w:rPr>
                <w:rFonts w:ascii="Arial" w:hAnsi="Arial" w:cs="Arial"/>
                <w:sz w:val="24"/>
                <w:szCs w:val="24"/>
                <w:lang w:val="fr-FR"/>
              </w:rPr>
              <w:t>Develop</w:t>
            </w:r>
            <w:proofErr w:type="spellEnd"/>
            <w:r>
              <w:rPr>
                <w:rFonts w:ascii="Arial" w:hAnsi="Arial" w:cs="Arial"/>
                <w:sz w:val="24"/>
                <w:szCs w:val="24"/>
                <w:lang w:val="fr-FR"/>
              </w:rPr>
              <w:t xml:space="preserve"> in accordance </w:t>
            </w:r>
            <w:proofErr w:type="spellStart"/>
            <w:r>
              <w:rPr>
                <w:rFonts w:ascii="Arial" w:hAnsi="Arial" w:cs="Arial"/>
                <w:sz w:val="24"/>
                <w:szCs w:val="24"/>
                <w:lang w:val="fr-FR"/>
              </w:rPr>
              <w:t>with</w:t>
            </w:r>
            <w:proofErr w:type="spellEnd"/>
            <w:r>
              <w:rPr>
                <w:rFonts w:ascii="Arial" w:hAnsi="Arial" w:cs="Arial"/>
                <w:sz w:val="24"/>
                <w:szCs w:val="24"/>
                <w:lang w:val="fr-FR"/>
              </w:rPr>
              <w:t xml:space="preserve"> </w:t>
            </w:r>
            <w:proofErr w:type="spellStart"/>
            <w:r>
              <w:rPr>
                <w:rFonts w:ascii="Arial" w:hAnsi="Arial" w:cs="Arial"/>
                <w:sz w:val="24"/>
                <w:szCs w:val="24"/>
                <w:lang w:val="fr-FR"/>
              </w:rPr>
              <w:t>approved</w:t>
            </w:r>
            <w:proofErr w:type="spellEnd"/>
            <w:r>
              <w:rPr>
                <w:rFonts w:ascii="Arial" w:hAnsi="Arial" w:cs="Arial"/>
                <w:sz w:val="24"/>
                <w:szCs w:val="24"/>
                <w:lang w:val="fr-FR"/>
              </w:rPr>
              <w:t xml:space="preserve"> plans) of planning permission 17/02109/FUL (Partial </w:t>
            </w:r>
            <w:proofErr w:type="spellStart"/>
            <w:r>
              <w:rPr>
                <w:rFonts w:ascii="Arial" w:hAnsi="Arial" w:cs="Arial"/>
                <w:sz w:val="24"/>
                <w:szCs w:val="24"/>
                <w:lang w:val="fr-FR"/>
              </w:rPr>
              <w:t>demolition</w:t>
            </w:r>
            <w:proofErr w:type="spellEnd"/>
            <w:r>
              <w:rPr>
                <w:rFonts w:ascii="Arial" w:hAnsi="Arial" w:cs="Arial"/>
                <w:sz w:val="24"/>
                <w:szCs w:val="24"/>
                <w:lang w:val="fr-FR"/>
              </w:rPr>
              <w:t xml:space="preserve"> of </w:t>
            </w:r>
            <w:proofErr w:type="spellStart"/>
            <w:r>
              <w:rPr>
                <w:rFonts w:ascii="Arial" w:hAnsi="Arial" w:cs="Arial"/>
                <w:sz w:val="24"/>
                <w:szCs w:val="24"/>
                <w:lang w:val="fr-FR"/>
              </w:rPr>
              <w:t>existing</w:t>
            </w:r>
            <w:proofErr w:type="spellEnd"/>
            <w:r>
              <w:rPr>
                <w:rFonts w:ascii="Arial" w:hAnsi="Arial" w:cs="Arial"/>
                <w:sz w:val="24"/>
                <w:szCs w:val="24"/>
                <w:lang w:val="fr-FR"/>
              </w:rPr>
              <w:t xml:space="preserve"> building, </w:t>
            </w:r>
            <w:proofErr w:type="spellStart"/>
            <w:r>
              <w:rPr>
                <w:rFonts w:ascii="Arial" w:hAnsi="Arial" w:cs="Arial"/>
                <w:sz w:val="24"/>
                <w:szCs w:val="24"/>
                <w:lang w:val="fr-FR"/>
              </w:rPr>
              <w:t>alteration</w:t>
            </w:r>
            <w:proofErr w:type="spellEnd"/>
            <w:r>
              <w:rPr>
                <w:rFonts w:ascii="Arial" w:hAnsi="Arial" w:cs="Arial"/>
                <w:sz w:val="24"/>
                <w:szCs w:val="24"/>
                <w:lang w:val="fr-FR"/>
              </w:rPr>
              <w:t xml:space="preserve"> and extension to </w:t>
            </w:r>
            <w:proofErr w:type="spellStart"/>
            <w:r>
              <w:rPr>
                <w:rFonts w:ascii="Arial" w:hAnsi="Arial" w:cs="Arial"/>
                <w:sz w:val="24"/>
                <w:szCs w:val="24"/>
                <w:lang w:val="fr-FR"/>
              </w:rPr>
              <w:t>create</w:t>
            </w:r>
            <w:proofErr w:type="spellEnd"/>
            <w:r>
              <w:rPr>
                <w:rFonts w:ascii="Arial" w:hAnsi="Arial" w:cs="Arial"/>
                <w:sz w:val="24"/>
                <w:szCs w:val="24"/>
                <w:lang w:val="fr-FR"/>
              </w:rPr>
              <w:t xml:space="preserve"> a new </w:t>
            </w:r>
            <w:proofErr w:type="spellStart"/>
            <w:r>
              <w:rPr>
                <w:rFonts w:ascii="Arial" w:hAnsi="Arial" w:cs="Arial"/>
                <w:sz w:val="24"/>
                <w:szCs w:val="24"/>
                <w:lang w:val="fr-FR"/>
              </w:rPr>
              <w:t>link</w:t>
            </w:r>
            <w:proofErr w:type="spellEnd"/>
            <w:r>
              <w:rPr>
                <w:rFonts w:ascii="Arial" w:hAnsi="Arial" w:cs="Arial"/>
                <w:sz w:val="24"/>
                <w:szCs w:val="24"/>
                <w:lang w:val="fr-FR"/>
              </w:rPr>
              <w:t xml:space="preserve">, </w:t>
            </w:r>
            <w:proofErr w:type="spellStart"/>
            <w:r>
              <w:rPr>
                <w:rFonts w:ascii="Arial" w:hAnsi="Arial" w:cs="Arial"/>
                <w:sz w:val="24"/>
                <w:szCs w:val="24"/>
                <w:lang w:val="fr-FR"/>
              </w:rPr>
              <w:t>rear</w:t>
            </w:r>
            <w:proofErr w:type="spellEnd"/>
            <w:r>
              <w:rPr>
                <w:rFonts w:ascii="Arial" w:hAnsi="Arial" w:cs="Arial"/>
                <w:sz w:val="24"/>
                <w:szCs w:val="24"/>
                <w:lang w:val="fr-FR"/>
              </w:rPr>
              <w:t xml:space="preserve"> extension and provision of bin and cycle stores. </w:t>
            </w:r>
            <w:proofErr w:type="spellStart"/>
            <w:r>
              <w:rPr>
                <w:rFonts w:ascii="Arial" w:hAnsi="Arial" w:cs="Arial"/>
                <w:sz w:val="24"/>
                <w:szCs w:val="24"/>
                <w:lang w:val="fr-FR"/>
              </w:rPr>
              <w:t>Removal</w:t>
            </w:r>
            <w:proofErr w:type="spellEnd"/>
            <w:r>
              <w:rPr>
                <w:rFonts w:ascii="Arial" w:hAnsi="Arial" w:cs="Arial"/>
                <w:sz w:val="24"/>
                <w:szCs w:val="24"/>
                <w:lang w:val="fr-FR"/>
              </w:rPr>
              <w:t xml:space="preserve"> of </w:t>
            </w:r>
            <w:proofErr w:type="spellStart"/>
            <w:r>
              <w:rPr>
                <w:rFonts w:ascii="Arial" w:hAnsi="Arial" w:cs="Arial"/>
                <w:sz w:val="24"/>
                <w:szCs w:val="24"/>
                <w:lang w:val="fr-FR"/>
              </w:rPr>
              <w:t>trees</w:t>
            </w:r>
            <w:proofErr w:type="spellEnd"/>
            <w:r>
              <w:rPr>
                <w:rFonts w:ascii="Arial" w:hAnsi="Arial" w:cs="Arial"/>
                <w:sz w:val="24"/>
                <w:szCs w:val="24"/>
                <w:lang w:val="fr-FR"/>
              </w:rPr>
              <w:t xml:space="preserve"> and </w:t>
            </w:r>
            <w:proofErr w:type="spellStart"/>
            <w:r>
              <w:rPr>
                <w:rFonts w:ascii="Arial" w:hAnsi="Arial" w:cs="Arial"/>
                <w:sz w:val="24"/>
                <w:szCs w:val="24"/>
                <w:lang w:val="fr-FR"/>
              </w:rPr>
              <w:t>landscaping</w:t>
            </w:r>
            <w:proofErr w:type="spellEnd"/>
            <w:r>
              <w:rPr>
                <w:rFonts w:ascii="Arial" w:hAnsi="Arial" w:cs="Arial"/>
                <w:sz w:val="24"/>
                <w:szCs w:val="24"/>
                <w:lang w:val="fr-FR"/>
              </w:rPr>
              <w:t>.  (</w:t>
            </w:r>
            <w:proofErr w:type="spellStart"/>
            <w:r>
              <w:rPr>
                <w:rFonts w:ascii="Arial" w:hAnsi="Arial" w:cs="Arial"/>
                <w:sz w:val="24"/>
                <w:szCs w:val="24"/>
                <w:lang w:val="fr-FR"/>
              </w:rPr>
              <w:t>amended</w:t>
            </w:r>
            <w:proofErr w:type="spellEnd"/>
            <w:r>
              <w:rPr>
                <w:rFonts w:ascii="Arial" w:hAnsi="Arial" w:cs="Arial"/>
                <w:sz w:val="24"/>
                <w:szCs w:val="24"/>
                <w:lang w:val="fr-FR"/>
              </w:rPr>
              <w:t xml:space="preserve"> plans) to </w:t>
            </w:r>
            <w:proofErr w:type="spellStart"/>
            <w:r>
              <w:rPr>
                <w:rFonts w:ascii="Arial" w:hAnsi="Arial" w:cs="Arial"/>
                <w:sz w:val="24"/>
                <w:szCs w:val="24"/>
                <w:lang w:val="fr-FR"/>
              </w:rPr>
              <w:t>allow</w:t>
            </w:r>
            <w:proofErr w:type="spellEnd"/>
            <w:r>
              <w:rPr>
                <w:rFonts w:ascii="Arial" w:hAnsi="Arial" w:cs="Arial"/>
                <w:sz w:val="24"/>
                <w:szCs w:val="24"/>
                <w:lang w:val="fr-FR"/>
              </w:rPr>
              <w:t xml:space="preserve"> </w:t>
            </w:r>
            <w:proofErr w:type="spellStart"/>
            <w:r>
              <w:rPr>
                <w:rFonts w:ascii="Arial" w:hAnsi="Arial" w:cs="Arial"/>
                <w:sz w:val="24"/>
                <w:szCs w:val="24"/>
                <w:lang w:val="fr-FR"/>
              </w:rPr>
              <w:t>improvements</w:t>
            </w:r>
            <w:proofErr w:type="spellEnd"/>
            <w:r>
              <w:rPr>
                <w:rFonts w:ascii="Arial" w:hAnsi="Arial" w:cs="Arial"/>
                <w:sz w:val="24"/>
                <w:szCs w:val="24"/>
                <w:lang w:val="fr-FR"/>
              </w:rPr>
              <w:t xml:space="preserve"> to </w:t>
            </w:r>
            <w:proofErr w:type="spellStart"/>
            <w:r>
              <w:rPr>
                <w:rFonts w:ascii="Arial" w:hAnsi="Arial" w:cs="Arial"/>
                <w:sz w:val="24"/>
                <w:szCs w:val="24"/>
                <w:lang w:val="fr-FR"/>
              </w:rPr>
              <w:t>access</w:t>
            </w:r>
            <w:proofErr w:type="spellEnd"/>
            <w:r>
              <w:rPr>
                <w:rFonts w:ascii="Arial" w:hAnsi="Arial" w:cs="Arial"/>
                <w:sz w:val="24"/>
                <w:szCs w:val="24"/>
                <w:lang w:val="fr-FR"/>
              </w:rPr>
              <w:t xml:space="preserve">, </w:t>
            </w:r>
            <w:proofErr w:type="spellStart"/>
            <w:r>
              <w:rPr>
                <w:rFonts w:ascii="Arial" w:hAnsi="Arial" w:cs="Arial"/>
                <w:sz w:val="24"/>
                <w:szCs w:val="24"/>
                <w:lang w:val="fr-FR"/>
              </w:rPr>
              <w:t>brickwork</w:t>
            </w:r>
            <w:proofErr w:type="spellEnd"/>
            <w:r>
              <w:rPr>
                <w:rFonts w:ascii="Arial" w:hAnsi="Arial" w:cs="Arial"/>
                <w:sz w:val="24"/>
                <w:szCs w:val="24"/>
                <w:lang w:val="fr-FR"/>
              </w:rPr>
              <w:t xml:space="preserve"> and circulation </w:t>
            </w:r>
            <w:proofErr w:type="spellStart"/>
            <w:r>
              <w:rPr>
                <w:rFonts w:ascii="Arial" w:hAnsi="Arial" w:cs="Arial"/>
                <w:sz w:val="24"/>
                <w:szCs w:val="24"/>
                <w:lang w:val="fr-FR"/>
              </w:rPr>
              <w:t>around</w:t>
            </w:r>
            <w:proofErr w:type="spellEnd"/>
            <w:r>
              <w:rPr>
                <w:rFonts w:ascii="Arial" w:hAnsi="Arial" w:cs="Arial"/>
                <w:sz w:val="24"/>
                <w:szCs w:val="24"/>
                <w:lang w:val="fr-FR"/>
              </w:rPr>
              <w:t xml:space="preserve"> the building</w:t>
            </w:r>
            <w:proofErr w:type="gramStart"/>
            <w:r>
              <w:rPr>
                <w:rFonts w:ascii="Arial" w:hAnsi="Arial" w:cs="Arial"/>
                <w:sz w:val="24"/>
                <w:szCs w:val="24"/>
                <w:lang w:val="fr-FR"/>
              </w:rPr>
              <w:t>..</w:t>
            </w:r>
            <w:proofErr w:type="gramEnd"/>
            <w:r>
              <w:rPr>
                <w:rFonts w:ascii="Arial" w:hAnsi="Arial" w:cs="Arial"/>
                <w:sz w:val="24"/>
                <w:szCs w:val="24"/>
                <w:lang w:val="fr-FR"/>
              </w:rPr>
              <w:t xml:space="preserve"> PER 27th March 2019.</w:t>
            </w:r>
          </w:p>
          <w:p w14:paraId="7FBEA9A5" w14:textId="77777777" w:rsidR="006B58A3" w:rsidRDefault="006B58A3">
            <w:pPr>
              <w:pStyle w:val="CAPS"/>
              <w:rPr>
                <w:rFonts w:ascii="Arial" w:hAnsi="Arial" w:cs="Arial"/>
                <w:sz w:val="24"/>
                <w:szCs w:val="24"/>
                <w:lang w:val="fr-FR"/>
              </w:rPr>
            </w:pPr>
          </w:p>
          <w:p w14:paraId="507F2C55" w14:textId="77777777" w:rsidR="006B58A3" w:rsidRDefault="006B58A3">
            <w:pPr>
              <w:pStyle w:val="CAPS"/>
              <w:rPr>
                <w:rFonts w:ascii="Arial" w:hAnsi="Arial" w:cs="Arial"/>
                <w:sz w:val="24"/>
                <w:szCs w:val="24"/>
                <w:lang w:val="fr-FR"/>
              </w:rPr>
            </w:pPr>
            <w:r>
              <w:rPr>
                <w:rFonts w:ascii="Arial" w:hAnsi="Arial" w:cs="Arial"/>
                <w:sz w:val="24"/>
                <w:szCs w:val="24"/>
                <w:lang w:val="fr-FR"/>
              </w:rPr>
              <w:t>17/02109/NMA2 - Non-</w:t>
            </w:r>
            <w:proofErr w:type="spellStart"/>
            <w:r>
              <w:rPr>
                <w:rFonts w:ascii="Arial" w:hAnsi="Arial" w:cs="Arial"/>
                <w:sz w:val="24"/>
                <w:szCs w:val="24"/>
                <w:lang w:val="fr-FR"/>
              </w:rPr>
              <w:t>material</w:t>
            </w:r>
            <w:proofErr w:type="spellEnd"/>
            <w:r>
              <w:rPr>
                <w:rFonts w:ascii="Arial" w:hAnsi="Arial" w:cs="Arial"/>
                <w:sz w:val="24"/>
                <w:szCs w:val="24"/>
                <w:lang w:val="fr-FR"/>
              </w:rPr>
              <w:t xml:space="preserve"> </w:t>
            </w:r>
            <w:proofErr w:type="spellStart"/>
            <w:r>
              <w:rPr>
                <w:rFonts w:ascii="Arial" w:hAnsi="Arial" w:cs="Arial"/>
                <w:sz w:val="24"/>
                <w:szCs w:val="24"/>
                <w:lang w:val="fr-FR"/>
              </w:rPr>
              <w:t>amendment</w:t>
            </w:r>
            <w:proofErr w:type="spellEnd"/>
            <w:r>
              <w:rPr>
                <w:rFonts w:ascii="Arial" w:hAnsi="Arial" w:cs="Arial"/>
                <w:sz w:val="24"/>
                <w:szCs w:val="24"/>
                <w:lang w:val="fr-FR"/>
              </w:rPr>
              <w:t xml:space="preserve"> to planning permission 17/02109/FUL to </w:t>
            </w:r>
            <w:proofErr w:type="spellStart"/>
            <w:r>
              <w:rPr>
                <w:rFonts w:ascii="Arial" w:hAnsi="Arial" w:cs="Arial"/>
                <w:sz w:val="24"/>
                <w:szCs w:val="24"/>
                <w:lang w:val="fr-FR"/>
              </w:rPr>
              <w:t>allow</w:t>
            </w:r>
            <w:proofErr w:type="spellEnd"/>
            <w:r>
              <w:rPr>
                <w:rFonts w:ascii="Arial" w:hAnsi="Arial" w:cs="Arial"/>
                <w:sz w:val="24"/>
                <w:szCs w:val="24"/>
                <w:lang w:val="fr-FR"/>
              </w:rPr>
              <w:t xml:space="preserve"> </w:t>
            </w:r>
            <w:proofErr w:type="spellStart"/>
            <w:r>
              <w:rPr>
                <w:rFonts w:ascii="Arial" w:hAnsi="Arial" w:cs="Arial"/>
                <w:sz w:val="24"/>
                <w:szCs w:val="24"/>
                <w:lang w:val="fr-FR"/>
              </w:rPr>
              <w:t>reduction</w:t>
            </w:r>
            <w:proofErr w:type="spellEnd"/>
            <w:r>
              <w:rPr>
                <w:rFonts w:ascii="Arial" w:hAnsi="Arial" w:cs="Arial"/>
                <w:sz w:val="24"/>
                <w:szCs w:val="24"/>
                <w:lang w:val="fr-FR"/>
              </w:rPr>
              <w:t xml:space="preserve"> of </w:t>
            </w:r>
            <w:proofErr w:type="spellStart"/>
            <w:r>
              <w:rPr>
                <w:rFonts w:ascii="Arial" w:hAnsi="Arial" w:cs="Arial"/>
                <w:sz w:val="24"/>
                <w:szCs w:val="24"/>
                <w:lang w:val="fr-FR"/>
              </w:rPr>
              <w:t>height</w:t>
            </w:r>
            <w:proofErr w:type="spellEnd"/>
            <w:r>
              <w:rPr>
                <w:rFonts w:ascii="Arial" w:hAnsi="Arial" w:cs="Arial"/>
                <w:sz w:val="24"/>
                <w:szCs w:val="24"/>
                <w:lang w:val="fr-FR"/>
              </w:rPr>
              <w:t xml:space="preserve"> to </w:t>
            </w:r>
            <w:proofErr w:type="spellStart"/>
            <w:r>
              <w:rPr>
                <w:rFonts w:ascii="Arial" w:hAnsi="Arial" w:cs="Arial"/>
                <w:sz w:val="24"/>
                <w:szCs w:val="24"/>
                <w:lang w:val="fr-FR"/>
              </w:rPr>
              <w:t>side</w:t>
            </w:r>
            <w:proofErr w:type="spellEnd"/>
            <w:r>
              <w:rPr>
                <w:rFonts w:ascii="Arial" w:hAnsi="Arial" w:cs="Arial"/>
                <w:sz w:val="24"/>
                <w:szCs w:val="24"/>
                <w:lang w:val="fr-FR"/>
              </w:rPr>
              <w:t xml:space="preserve"> </w:t>
            </w:r>
            <w:proofErr w:type="spellStart"/>
            <w:r>
              <w:rPr>
                <w:rFonts w:ascii="Arial" w:hAnsi="Arial" w:cs="Arial"/>
                <w:sz w:val="24"/>
                <w:szCs w:val="24"/>
                <w:lang w:val="fr-FR"/>
              </w:rPr>
              <w:t>screens</w:t>
            </w:r>
            <w:proofErr w:type="spellEnd"/>
            <w:r>
              <w:rPr>
                <w:rFonts w:ascii="Arial" w:hAnsi="Arial" w:cs="Arial"/>
                <w:sz w:val="24"/>
                <w:szCs w:val="24"/>
                <w:lang w:val="fr-FR"/>
              </w:rPr>
              <w:t xml:space="preserve"> to </w:t>
            </w:r>
            <w:proofErr w:type="spellStart"/>
            <w:r>
              <w:rPr>
                <w:rFonts w:ascii="Arial" w:hAnsi="Arial" w:cs="Arial"/>
                <w:sz w:val="24"/>
                <w:szCs w:val="24"/>
                <w:lang w:val="fr-FR"/>
              </w:rPr>
              <w:t>terraced</w:t>
            </w:r>
            <w:proofErr w:type="spellEnd"/>
            <w:r>
              <w:rPr>
                <w:rFonts w:ascii="Arial" w:hAnsi="Arial" w:cs="Arial"/>
                <w:sz w:val="24"/>
                <w:szCs w:val="24"/>
                <w:lang w:val="fr-FR"/>
              </w:rPr>
              <w:t xml:space="preserve"> on first </w:t>
            </w:r>
            <w:proofErr w:type="spellStart"/>
            <w:r>
              <w:rPr>
                <w:rFonts w:ascii="Arial" w:hAnsi="Arial" w:cs="Arial"/>
                <w:sz w:val="24"/>
                <w:szCs w:val="24"/>
                <w:lang w:val="fr-FR"/>
              </w:rPr>
              <w:t>floor</w:t>
            </w:r>
            <w:proofErr w:type="spellEnd"/>
            <w:proofErr w:type="gramStart"/>
            <w:r>
              <w:rPr>
                <w:rFonts w:ascii="Arial" w:hAnsi="Arial" w:cs="Arial"/>
                <w:sz w:val="24"/>
                <w:szCs w:val="24"/>
                <w:lang w:val="fr-FR"/>
              </w:rPr>
              <w:t>..</w:t>
            </w:r>
            <w:proofErr w:type="gramEnd"/>
            <w:r>
              <w:rPr>
                <w:rFonts w:ascii="Arial" w:hAnsi="Arial" w:cs="Arial"/>
                <w:sz w:val="24"/>
                <w:szCs w:val="24"/>
                <w:lang w:val="fr-FR"/>
              </w:rPr>
              <w:t xml:space="preserve"> WDN 3rd </w:t>
            </w:r>
            <w:proofErr w:type="spellStart"/>
            <w:r>
              <w:rPr>
                <w:rFonts w:ascii="Arial" w:hAnsi="Arial" w:cs="Arial"/>
                <w:sz w:val="24"/>
                <w:szCs w:val="24"/>
                <w:lang w:val="fr-FR"/>
              </w:rPr>
              <w:t>January</w:t>
            </w:r>
            <w:proofErr w:type="spellEnd"/>
            <w:r>
              <w:rPr>
                <w:rFonts w:ascii="Arial" w:hAnsi="Arial" w:cs="Arial"/>
                <w:sz w:val="24"/>
                <w:szCs w:val="24"/>
                <w:lang w:val="fr-FR"/>
              </w:rPr>
              <w:t xml:space="preserve"> 2020.</w:t>
            </w:r>
          </w:p>
          <w:p w14:paraId="39D4896D" w14:textId="77777777" w:rsidR="006B58A3" w:rsidRDefault="006B58A3">
            <w:pPr>
              <w:pStyle w:val="CAPS"/>
              <w:rPr>
                <w:rFonts w:ascii="Arial" w:hAnsi="Arial" w:cs="Arial"/>
                <w:sz w:val="24"/>
                <w:szCs w:val="24"/>
                <w:lang w:val="fr-FR"/>
              </w:rPr>
            </w:pPr>
          </w:p>
          <w:p w14:paraId="29A8FE8E" w14:textId="77777777" w:rsidR="006B58A3" w:rsidRDefault="006B58A3">
            <w:pPr>
              <w:pStyle w:val="CAPS"/>
              <w:rPr>
                <w:rFonts w:ascii="Arial" w:hAnsi="Arial" w:cs="Arial"/>
                <w:sz w:val="24"/>
                <w:szCs w:val="24"/>
                <w:lang w:val="fr-FR"/>
              </w:rPr>
            </w:pPr>
            <w:r>
              <w:rPr>
                <w:rFonts w:ascii="Arial" w:hAnsi="Arial" w:cs="Arial"/>
                <w:sz w:val="24"/>
                <w:szCs w:val="24"/>
                <w:lang w:val="fr-FR"/>
              </w:rPr>
              <w:t>19/00168/NMA - Non-</w:t>
            </w:r>
            <w:proofErr w:type="spellStart"/>
            <w:r>
              <w:rPr>
                <w:rFonts w:ascii="Arial" w:hAnsi="Arial" w:cs="Arial"/>
                <w:sz w:val="24"/>
                <w:szCs w:val="24"/>
                <w:lang w:val="fr-FR"/>
              </w:rPr>
              <w:t>material</w:t>
            </w:r>
            <w:proofErr w:type="spellEnd"/>
            <w:r>
              <w:rPr>
                <w:rFonts w:ascii="Arial" w:hAnsi="Arial" w:cs="Arial"/>
                <w:sz w:val="24"/>
                <w:szCs w:val="24"/>
                <w:lang w:val="fr-FR"/>
              </w:rPr>
              <w:t xml:space="preserve"> </w:t>
            </w:r>
            <w:proofErr w:type="spellStart"/>
            <w:r>
              <w:rPr>
                <w:rFonts w:ascii="Arial" w:hAnsi="Arial" w:cs="Arial"/>
                <w:sz w:val="24"/>
                <w:szCs w:val="24"/>
                <w:lang w:val="fr-FR"/>
              </w:rPr>
              <w:t>amendment</w:t>
            </w:r>
            <w:proofErr w:type="spellEnd"/>
            <w:r>
              <w:rPr>
                <w:rFonts w:ascii="Arial" w:hAnsi="Arial" w:cs="Arial"/>
                <w:sz w:val="24"/>
                <w:szCs w:val="24"/>
                <w:lang w:val="fr-FR"/>
              </w:rPr>
              <w:t xml:space="preserve"> to variation application 19/00168/VAR to </w:t>
            </w:r>
            <w:proofErr w:type="spellStart"/>
            <w:r>
              <w:rPr>
                <w:rFonts w:ascii="Arial" w:hAnsi="Arial" w:cs="Arial"/>
                <w:sz w:val="24"/>
                <w:szCs w:val="24"/>
                <w:lang w:val="fr-FR"/>
              </w:rPr>
              <w:t>allow</w:t>
            </w:r>
            <w:proofErr w:type="spellEnd"/>
            <w:r>
              <w:rPr>
                <w:rFonts w:ascii="Arial" w:hAnsi="Arial" w:cs="Arial"/>
                <w:sz w:val="24"/>
                <w:szCs w:val="24"/>
                <w:lang w:val="fr-FR"/>
              </w:rPr>
              <w:t xml:space="preserve"> </w:t>
            </w:r>
            <w:proofErr w:type="spellStart"/>
            <w:r>
              <w:rPr>
                <w:rFonts w:ascii="Arial" w:hAnsi="Arial" w:cs="Arial"/>
                <w:sz w:val="24"/>
                <w:szCs w:val="24"/>
                <w:lang w:val="fr-FR"/>
              </w:rPr>
              <w:t>reduction</w:t>
            </w:r>
            <w:proofErr w:type="spellEnd"/>
            <w:r>
              <w:rPr>
                <w:rFonts w:ascii="Arial" w:hAnsi="Arial" w:cs="Arial"/>
                <w:sz w:val="24"/>
                <w:szCs w:val="24"/>
                <w:lang w:val="fr-FR"/>
              </w:rPr>
              <w:t xml:space="preserve"> of </w:t>
            </w:r>
            <w:proofErr w:type="spellStart"/>
            <w:r>
              <w:rPr>
                <w:rFonts w:ascii="Arial" w:hAnsi="Arial" w:cs="Arial"/>
                <w:sz w:val="24"/>
                <w:szCs w:val="24"/>
                <w:lang w:val="fr-FR"/>
              </w:rPr>
              <w:t>height</w:t>
            </w:r>
            <w:proofErr w:type="spellEnd"/>
            <w:r>
              <w:rPr>
                <w:rFonts w:ascii="Arial" w:hAnsi="Arial" w:cs="Arial"/>
                <w:sz w:val="24"/>
                <w:szCs w:val="24"/>
                <w:lang w:val="fr-FR"/>
              </w:rPr>
              <w:t xml:space="preserve"> to </w:t>
            </w:r>
            <w:proofErr w:type="spellStart"/>
            <w:r>
              <w:rPr>
                <w:rFonts w:ascii="Arial" w:hAnsi="Arial" w:cs="Arial"/>
                <w:sz w:val="24"/>
                <w:szCs w:val="24"/>
                <w:lang w:val="fr-FR"/>
              </w:rPr>
              <w:t>side</w:t>
            </w:r>
            <w:proofErr w:type="spellEnd"/>
            <w:r>
              <w:rPr>
                <w:rFonts w:ascii="Arial" w:hAnsi="Arial" w:cs="Arial"/>
                <w:sz w:val="24"/>
                <w:szCs w:val="24"/>
                <w:lang w:val="fr-FR"/>
              </w:rPr>
              <w:t xml:space="preserve"> </w:t>
            </w:r>
            <w:proofErr w:type="spellStart"/>
            <w:r>
              <w:rPr>
                <w:rFonts w:ascii="Arial" w:hAnsi="Arial" w:cs="Arial"/>
                <w:sz w:val="24"/>
                <w:szCs w:val="24"/>
                <w:lang w:val="fr-FR"/>
              </w:rPr>
              <w:t>screens</w:t>
            </w:r>
            <w:proofErr w:type="spellEnd"/>
            <w:r>
              <w:rPr>
                <w:rFonts w:ascii="Arial" w:hAnsi="Arial" w:cs="Arial"/>
                <w:sz w:val="24"/>
                <w:szCs w:val="24"/>
                <w:lang w:val="fr-FR"/>
              </w:rPr>
              <w:t xml:space="preserve"> to </w:t>
            </w:r>
            <w:proofErr w:type="spellStart"/>
            <w:r>
              <w:rPr>
                <w:rFonts w:ascii="Arial" w:hAnsi="Arial" w:cs="Arial"/>
                <w:sz w:val="24"/>
                <w:szCs w:val="24"/>
                <w:lang w:val="fr-FR"/>
              </w:rPr>
              <w:t>terraced</w:t>
            </w:r>
            <w:proofErr w:type="spellEnd"/>
            <w:r>
              <w:rPr>
                <w:rFonts w:ascii="Arial" w:hAnsi="Arial" w:cs="Arial"/>
                <w:sz w:val="24"/>
                <w:szCs w:val="24"/>
                <w:lang w:val="fr-FR"/>
              </w:rPr>
              <w:t xml:space="preserve"> on first </w:t>
            </w:r>
            <w:proofErr w:type="spellStart"/>
            <w:r>
              <w:rPr>
                <w:rFonts w:ascii="Arial" w:hAnsi="Arial" w:cs="Arial"/>
                <w:sz w:val="24"/>
                <w:szCs w:val="24"/>
                <w:lang w:val="fr-FR"/>
              </w:rPr>
              <w:t>floor</w:t>
            </w:r>
            <w:proofErr w:type="spellEnd"/>
            <w:proofErr w:type="gramStart"/>
            <w:r>
              <w:rPr>
                <w:rFonts w:ascii="Arial" w:hAnsi="Arial" w:cs="Arial"/>
                <w:sz w:val="24"/>
                <w:szCs w:val="24"/>
                <w:lang w:val="fr-FR"/>
              </w:rPr>
              <w:t>..</w:t>
            </w:r>
            <w:proofErr w:type="gramEnd"/>
            <w:r>
              <w:rPr>
                <w:rFonts w:ascii="Arial" w:hAnsi="Arial" w:cs="Arial"/>
                <w:sz w:val="24"/>
                <w:szCs w:val="24"/>
                <w:lang w:val="fr-FR"/>
              </w:rPr>
              <w:t xml:space="preserve"> REF 3rd </w:t>
            </w:r>
            <w:proofErr w:type="spellStart"/>
            <w:r>
              <w:rPr>
                <w:rFonts w:ascii="Arial" w:hAnsi="Arial" w:cs="Arial"/>
                <w:sz w:val="24"/>
                <w:szCs w:val="24"/>
                <w:lang w:val="fr-FR"/>
              </w:rPr>
              <w:t>January</w:t>
            </w:r>
            <w:proofErr w:type="spellEnd"/>
            <w:r>
              <w:rPr>
                <w:rFonts w:ascii="Arial" w:hAnsi="Arial" w:cs="Arial"/>
                <w:sz w:val="24"/>
                <w:szCs w:val="24"/>
                <w:lang w:val="fr-FR"/>
              </w:rPr>
              <w:t xml:space="preserve"> 2020.</w:t>
            </w:r>
          </w:p>
          <w:p w14:paraId="533A4CE6" w14:textId="77777777" w:rsidR="006B58A3" w:rsidRDefault="006B58A3">
            <w:pPr>
              <w:pStyle w:val="CAPS"/>
              <w:rPr>
                <w:rFonts w:ascii="Arial" w:hAnsi="Arial" w:cs="Arial"/>
                <w:sz w:val="24"/>
                <w:szCs w:val="24"/>
                <w:lang w:val="fr-FR"/>
              </w:rPr>
            </w:pPr>
          </w:p>
          <w:p w14:paraId="7EA5000C" w14:textId="77777777" w:rsidR="006B58A3" w:rsidRDefault="006B58A3">
            <w:pPr>
              <w:pStyle w:val="CAPS"/>
              <w:rPr>
                <w:rFonts w:ascii="Arial" w:hAnsi="Arial" w:cs="Arial"/>
                <w:sz w:val="24"/>
                <w:szCs w:val="24"/>
                <w:lang w:val="fr-FR"/>
              </w:rPr>
            </w:pPr>
            <w:r>
              <w:rPr>
                <w:rFonts w:ascii="Arial" w:hAnsi="Arial" w:cs="Arial"/>
                <w:sz w:val="24"/>
                <w:szCs w:val="24"/>
                <w:lang w:val="fr-FR"/>
              </w:rPr>
              <w:t xml:space="preserve">20/00701/FUL - Installation of </w:t>
            </w:r>
            <w:proofErr w:type="spellStart"/>
            <w:r>
              <w:rPr>
                <w:rFonts w:ascii="Arial" w:hAnsi="Arial" w:cs="Arial"/>
                <w:sz w:val="24"/>
                <w:szCs w:val="24"/>
                <w:lang w:val="fr-FR"/>
              </w:rPr>
              <w:t>iron</w:t>
            </w:r>
            <w:proofErr w:type="spellEnd"/>
            <w:r>
              <w:rPr>
                <w:rFonts w:ascii="Arial" w:hAnsi="Arial" w:cs="Arial"/>
                <w:sz w:val="24"/>
                <w:szCs w:val="24"/>
                <w:lang w:val="fr-FR"/>
              </w:rPr>
              <w:t xml:space="preserve"> </w:t>
            </w:r>
            <w:proofErr w:type="spellStart"/>
            <w:r>
              <w:rPr>
                <w:rFonts w:ascii="Arial" w:hAnsi="Arial" w:cs="Arial"/>
                <w:sz w:val="24"/>
                <w:szCs w:val="24"/>
                <w:lang w:val="fr-FR"/>
              </w:rPr>
              <w:t>railings</w:t>
            </w:r>
            <w:proofErr w:type="spellEnd"/>
            <w:r>
              <w:rPr>
                <w:rFonts w:ascii="Arial" w:hAnsi="Arial" w:cs="Arial"/>
                <w:sz w:val="24"/>
                <w:szCs w:val="24"/>
                <w:lang w:val="fr-FR"/>
              </w:rPr>
              <w:t xml:space="preserve"> and </w:t>
            </w:r>
            <w:proofErr w:type="spellStart"/>
            <w:r>
              <w:rPr>
                <w:rFonts w:ascii="Arial" w:hAnsi="Arial" w:cs="Arial"/>
                <w:sz w:val="24"/>
                <w:szCs w:val="24"/>
                <w:lang w:val="fr-FR"/>
              </w:rPr>
              <w:t>gates</w:t>
            </w:r>
            <w:proofErr w:type="spellEnd"/>
            <w:proofErr w:type="gramStart"/>
            <w:r>
              <w:rPr>
                <w:rFonts w:ascii="Arial" w:hAnsi="Arial" w:cs="Arial"/>
                <w:sz w:val="24"/>
                <w:szCs w:val="24"/>
                <w:lang w:val="fr-FR"/>
              </w:rPr>
              <w:t>..</w:t>
            </w:r>
            <w:proofErr w:type="gramEnd"/>
            <w:r>
              <w:rPr>
                <w:rFonts w:ascii="Arial" w:hAnsi="Arial" w:cs="Arial"/>
                <w:sz w:val="24"/>
                <w:szCs w:val="24"/>
                <w:lang w:val="fr-FR"/>
              </w:rPr>
              <w:t xml:space="preserve"> </w:t>
            </w:r>
            <w:proofErr w:type="gramStart"/>
            <w:r>
              <w:rPr>
                <w:rFonts w:ascii="Arial" w:hAnsi="Arial" w:cs="Arial"/>
                <w:sz w:val="24"/>
                <w:szCs w:val="24"/>
                <w:lang w:val="fr-FR"/>
              </w:rPr>
              <w:t>PCO .</w:t>
            </w:r>
            <w:proofErr w:type="gramEnd"/>
          </w:p>
          <w:p w14:paraId="1AFFCD2A" w14:textId="77777777" w:rsidR="006B58A3" w:rsidRDefault="006B58A3">
            <w:pPr>
              <w:jc w:val="both"/>
              <w:rPr>
                <w:b/>
                <w:bCs/>
                <w:lang w:val="fr-FR"/>
              </w:rPr>
            </w:pPr>
          </w:p>
        </w:tc>
      </w:tr>
    </w:tbl>
    <w:p w14:paraId="4458A8EF" w14:textId="77777777" w:rsidR="006B58A3" w:rsidRDefault="006B58A3"/>
    <w:p w14:paraId="1855A5EE" w14:textId="77777777" w:rsidR="006B58A3" w:rsidRDefault="006B58A3">
      <w:pPr>
        <w:pStyle w:val="HEADINGA"/>
      </w:pPr>
      <w:r>
        <w:t>RELEVANT PLANNING POLICY</w:t>
      </w:r>
    </w:p>
    <w:p w14:paraId="28CB4B6B" w14:textId="77777777" w:rsidR="006B58A3" w:rsidRDefault="006B58A3">
      <w:pPr>
        <w:pStyle w:val="PARAGRAPHA"/>
        <w:rPr>
          <w:b/>
        </w:rPr>
      </w:pPr>
      <w:r>
        <w:t>The following policies are relevant to the application:</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1418"/>
        <w:gridCol w:w="1275"/>
        <w:gridCol w:w="1134"/>
        <w:gridCol w:w="1134"/>
        <w:gridCol w:w="1134"/>
        <w:gridCol w:w="1560"/>
        <w:gridCol w:w="1275"/>
      </w:tblGrid>
      <w:tr w:rsidR="00EC4573" w14:paraId="53799C48" w14:textId="77777777" w:rsidTr="00EC4573">
        <w:trPr>
          <w:trHeight w:val="573"/>
          <w:jc w:val="center"/>
        </w:trPr>
        <w:tc>
          <w:tcPr>
            <w:tcW w:w="1103" w:type="dxa"/>
            <w:shd w:val="clear" w:color="auto" w:fill="548DD4"/>
          </w:tcPr>
          <w:p w14:paraId="1A1904F1" w14:textId="77777777" w:rsidR="00EC4573" w:rsidRDefault="00EC4573">
            <w:pPr>
              <w:rPr>
                <w:b/>
                <w:color w:val="FFFFFF"/>
                <w:sz w:val="20"/>
                <w:szCs w:val="20"/>
              </w:rPr>
            </w:pPr>
            <w:r>
              <w:rPr>
                <w:b/>
                <w:color w:val="FFFFFF"/>
                <w:sz w:val="20"/>
                <w:szCs w:val="20"/>
              </w:rPr>
              <w:t>Topic</w:t>
            </w:r>
          </w:p>
        </w:tc>
        <w:tc>
          <w:tcPr>
            <w:tcW w:w="1418" w:type="dxa"/>
            <w:shd w:val="clear" w:color="auto" w:fill="548DD4"/>
            <w:hideMark/>
          </w:tcPr>
          <w:p w14:paraId="4CDF4673" w14:textId="77777777" w:rsidR="00EC4573" w:rsidRDefault="00EC4573">
            <w:pPr>
              <w:rPr>
                <w:b/>
                <w:bCs/>
                <w:color w:val="FFFFFF"/>
                <w:sz w:val="20"/>
                <w:szCs w:val="20"/>
                <w:highlight w:val="yellow"/>
              </w:rPr>
            </w:pPr>
            <w:r w:rsidRPr="005838EC">
              <w:rPr>
                <w:b/>
                <w:color w:val="FFFFFF"/>
                <w:sz w:val="20"/>
                <w:szCs w:val="20"/>
              </w:rPr>
              <w:t>National Planning Policy Framework</w:t>
            </w:r>
          </w:p>
        </w:tc>
        <w:tc>
          <w:tcPr>
            <w:tcW w:w="1275" w:type="dxa"/>
            <w:shd w:val="clear" w:color="auto" w:fill="548DD4"/>
            <w:hideMark/>
          </w:tcPr>
          <w:p w14:paraId="2C9E8CC2" w14:textId="77777777" w:rsidR="00EC4573" w:rsidRDefault="00EC4573">
            <w:pPr>
              <w:rPr>
                <w:b/>
                <w:bCs/>
                <w:color w:val="FFFFFF"/>
                <w:sz w:val="20"/>
                <w:szCs w:val="20"/>
              </w:rPr>
            </w:pPr>
            <w:r>
              <w:rPr>
                <w:b/>
                <w:color w:val="FFFFFF"/>
                <w:sz w:val="20"/>
                <w:szCs w:val="20"/>
              </w:rPr>
              <w:t>Local Plan</w:t>
            </w:r>
          </w:p>
        </w:tc>
        <w:tc>
          <w:tcPr>
            <w:tcW w:w="1134" w:type="dxa"/>
            <w:shd w:val="clear" w:color="auto" w:fill="548DD4"/>
          </w:tcPr>
          <w:p w14:paraId="598AC64B" w14:textId="77777777" w:rsidR="00EC4573" w:rsidRDefault="00EC4573">
            <w:pPr>
              <w:rPr>
                <w:b/>
                <w:color w:val="FFFFFF"/>
                <w:sz w:val="20"/>
                <w:szCs w:val="20"/>
              </w:rPr>
            </w:pPr>
            <w:r>
              <w:rPr>
                <w:b/>
                <w:color w:val="FFFFFF"/>
                <w:sz w:val="20"/>
                <w:szCs w:val="20"/>
              </w:rPr>
              <w:t>Core Strategy</w:t>
            </w:r>
          </w:p>
        </w:tc>
        <w:tc>
          <w:tcPr>
            <w:tcW w:w="1134" w:type="dxa"/>
            <w:shd w:val="clear" w:color="auto" w:fill="548DD4"/>
          </w:tcPr>
          <w:p w14:paraId="3BE60097" w14:textId="77777777" w:rsidR="00EC4573" w:rsidRDefault="00EC4573">
            <w:pPr>
              <w:rPr>
                <w:b/>
                <w:color w:val="FFFFFF"/>
                <w:sz w:val="20"/>
                <w:szCs w:val="20"/>
              </w:rPr>
            </w:pPr>
            <w:r>
              <w:rPr>
                <w:b/>
                <w:color w:val="FFFFFF"/>
                <w:sz w:val="20"/>
                <w:szCs w:val="20"/>
              </w:rPr>
              <w:t>Sites and Housing Plan</w:t>
            </w:r>
          </w:p>
        </w:tc>
        <w:tc>
          <w:tcPr>
            <w:tcW w:w="1134" w:type="dxa"/>
            <w:shd w:val="clear" w:color="auto" w:fill="548DD4"/>
          </w:tcPr>
          <w:p w14:paraId="01B1766D" w14:textId="77777777" w:rsidR="00EC4573" w:rsidRDefault="00EC4573">
            <w:pPr>
              <w:rPr>
                <w:b/>
                <w:color w:val="FFFFFF"/>
                <w:sz w:val="20"/>
                <w:szCs w:val="20"/>
              </w:rPr>
            </w:pPr>
            <w:r>
              <w:rPr>
                <w:b/>
                <w:color w:val="FFFFFF"/>
                <w:sz w:val="20"/>
                <w:szCs w:val="20"/>
              </w:rPr>
              <w:t>Emerging Local Plan</w:t>
            </w:r>
          </w:p>
        </w:tc>
        <w:tc>
          <w:tcPr>
            <w:tcW w:w="1560" w:type="dxa"/>
            <w:shd w:val="clear" w:color="auto" w:fill="548DD4"/>
          </w:tcPr>
          <w:p w14:paraId="1018F7B6" w14:textId="77777777" w:rsidR="00EC4573" w:rsidRDefault="00EC4573">
            <w:pPr>
              <w:rPr>
                <w:b/>
                <w:color w:val="FFFFFF"/>
                <w:sz w:val="20"/>
                <w:szCs w:val="20"/>
              </w:rPr>
            </w:pPr>
            <w:r>
              <w:rPr>
                <w:b/>
                <w:color w:val="FFFFFF"/>
                <w:sz w:val="20"/>
                <w:szCs w:val="20"/>
              </w:rPr>
              <w:t>Summertown and St Margaret’s Neighbourhood Plan:</w:t>
            </w:r>
          </w:p>
          <w:p w14:paraId="28E3B8DE" w14:textId="77777777" w:rsidR="00EC4573" w:rsidRDefault="00EC4573">
            <w:pPr>
              <w:rPr>
                <w:b/>
                <w:color w:val="FFFFFF"/>
                <w:sz w:val="20"/>
                <w:szCs w:val="20"/>
              </w:rPr>
            </w:pPr>
          </w:p>
        </w:tc>
        <w:tc>
          <w:tcPr>
            <w:tcW w:w="1275" w:type="dxa"/>
            <w:shd w:val="clear" w:color="auto" w:fill="548DD4"/>
          </w:tcPr>
          <w:p w14:paraId="4337EC86" w14:textId="77777777" w:rsidR="00EC4573" w:rsidRDefault="00EC4573">
            <w:pPr>
              <w:rPr>
                <w:b/>
                <w:color w:val="FFFFFF"/>
                <w:sz w:val="20"/>
                <w:szCs w:val="20"/>
              </w:rPr>
            </w:pPr>
            <w:r>
              <w:rPr>
                <w:b/>
                <w:color w:val="FFFFFF"/>
                <w:sz w:val="20"/>
                <w:szCs w:val="20"/>
              </w:rPr>
              <w:t>Other Planning Documents</w:t>
            </w:r>
          </w:p>
        </w:tc>
      </w:tr>
      <w:tr w:rsidR="00EC4573" w14:paraId="602F8D71" w14:textId="77777777" w:rsidTr="00EC4573">
        <w:trPr>
          <w:trHeight w:val="900"/>
          <w:jc w:val="center"/>
        </w:trPr>
        <w:tc>
          <w:tcPr>
            <w:tcW w:w="1103" w:type="dxa"/>
            <w:shd w:val="clear" w:color="auto" w:fill="548DD4"/>
          </w:tcPr>
          <w:p w14:paraId="7B6D5A8F" w14:textId="77777777" w:rsidR="00EC4573" w:rsidRDefault="00EC4573">
            <w:pPr>
              <w:rPr>
                <w:b/>
                <w:color w:val="FFFFFF"/>
                <w:sz w:val="20"/>
                <w:szCs w:val="20"/>
              </w:rPr>
            </w:pPr>
            <w:r>
              <w:rPr>
                <w:b/>
                <w:color w:val="FFFFFF"/>
                <w:sz w:val="20"/>
                <w:szCs w:val="20"/>
              </w:rPr>
              <w:t>Design</w:t>
            </w:r>
          </w:p>
        </w:tc>
        <w:tc>
          <w:tcPr>
            <w:tcW w:w="1418" w:type="dxa"/>
          </w:tcPr>
          <w:p w14:paraId="2D380913" w14:textId="77777777" w:rsidR="00EC4573" w:rsidRPr="00EC4573" w:rsidRDefault="00EC4573" w:rsidP="00031B00">
            <w:pPr>
              <w:jc w:val="center"/>
              <w:rPr>
                <w:bCs/>
                <w:sz w:val="20"/>
                <w:szCs w:val="20"/>
              </w:rPr>
            </w:pPr>
            <w:r w:rsidRPr="00EC4573">
              <w:rPr>
                <w:bCs/>
                <w:sz w:val="20"/>
                <w:szCs w:val="20"/>
              </w:rPr>
              <w:t>8, 11, 128, 129, 130</w:t>
            </w:r>
          </w:p>
        </w:tc>
        <w:tc>
          <w:tcPr>
            <w:tcW w:w="1275" w:type="dxa"/>
          </w:tcPr>
          <w:p w14:paraId="59C0F1BF" w14:textId="77777777" w:rsidR="00EC4573" w:rsidRDefault="00EC4573" w:rsidP="00031B00">
            <w:pPr>
              <w:jc w:val="center"/>
              <w:rPr>
                <w:bCs/>
                <w:iCs/>
                <w:sz w:val="20"/>
                <w:szCs w:val="20"/>
              </w:rPr>
            </w:pPr>
            <w:r>
              <w:rPr>
                <w:bCs/>
                <w:iCs/>
                <w:sz w:val="20"/>
                <w:szCs w:val="20"/>
              </w:rPr>
              <w:t>CP1, CP6, CP8, CP10</w:t>
            </w:r>
          </w:p>
        </w:tc>
        <w:tc>
          <w:tcPr>
            <w:tcW w:w="1134" w:type="dxa"/>
          </w:tcPr>
          <w:p w14:paraId="5A07100A" w14:textId="77777777" w:rsidR="00EC4573" w:rsidRDefault="00EC4573" w:rsidP="00031B00">
            <w:pPr>
              <w:jc w:val="center"/>
              <w:rPr>
                <w:bCs/>
                <w:iCs/>
                <w:sz w:val="20"/>
                <w:szCs w:val="20"/>
              </w:rPr>
            </w:pPr>
            <w:r>
              <w:rPr>
                <w:bCs/>
                <w:iCs/>
                <w:sz w:val="20"/>
                <w:szCs w:val="20"/>
              </w:rPr>
              <w:t>CS18</w:t>
            </w:r>
          </w:p>
        </w:tc>
        <w:tc>
          <w:tcPr>
            <w:tcW w:w="1134" w:type="dxa"/>
          </w:tcPr>
          <w:p w14:paraId="5BFF3FCD" w14:textId="77777777" w:rsidR="00EC4573" w:rsidRDefault="00EC4573" w:rsidP="00031B00">
            <w:pPr>
              <w:jc w:val="center"/>
              <w:rPr>
                <w:bCs/>
                <w:iCs/>
                <w:sz w:val="20"/>
                <w:szCs w:val="20"/>
              </w:rPr>
            </w:pPr>
            <w:r>
              <w:rPr>
                <w:bCs/>
                <w:iCs/>
                <w:sz w:val="20"/>
                <w:szCs w:val="20"/>
              </w:rPr>
              <w:t>HP9, HP14</w:t>
            </w:r>
          </w:p>
        </w:tc>
        <w:tc>
          <w:tcPr>
            <w:tcW w:w="1134" w:type="dxa"/>
          </w:tcPr>
          <w:p w14:paraId="6A3F7216" w14:textId="77777777" w:rsidR="00EC4573" w:rsidRDefault="00EC4573" w:rsidP="00031B00">
            <w:pPr>
              <w:jc w:val="center"/>
              <w:rPr>
                <w:bCs/>
                <w:iCs/>
                <w:sz w:val="20"/>
                <w:szCs w:val="20"/>
              </w:rPr>
            </w:pPr>
            <w:r>
              <w:rPr>
                <w:bCs/>
                <w:iCs/>
                <w:sz w:val="20"/>
                <w:szCs w:val="20"/>
              </w:rPr>
              <w:t>H14, DH1</w:t>
            </w:r>
          </w:p>
        </w:tc>
        <w:tc>
          <w:tcPr>
            <w:tcW w:w="1560" w:type="dxa"/>
          </w:tcPr>
          <w:p w14:paraId="1F08B54C" w14:textId="77777777" w:rsidR="00EC4573" w:rsidRDefault="00EC4573" w:rsidP="00031B00">
            <w:pPr>
              <w:jc w:val="center"/>
              <w:rPr>
                <w:bCs/>
                <w:iCs/>
                <w:sz w:val="20"/>
                <w:szCs w:val="20"/>
              </w:rPr>
            </w:pPr>
            <w:r>
              <w:rPr>
                <w:bCs/>
                <w:iCs/>
                <w:sz w:val="20"/>
                <w:szCs w:val="20"/>
              </w:rPr>
              <w:t>HOS2, HOS3</w:t>
            </w:r>
          </w:p>
        </w:tc>
        <w:tc>
          <w:tcPr>
            <w:tcW w:w="1275" w:type="dxa"/>
          </w:tcPr>
          <w:p w14:paraId="2C1FEF64" w14:textId="77777777" w:rsidR="00EC4573" w:rsidRDefault="00EC4573" w:rsidP="00031B00">
            <w:pPr>
              <w:jc w:val="center"/>
              <w:rPr>
                <w:bCs/>
                <w:iCs/>
                <w:sz w:val="20"/>
                <w:szCs w:val="20"/>
              </w:rPr>
            </w:pPr>
          </w:p>
        </w:tc>
      </w:tr>
      <w:tr w:rsidR="00EC4573" w14:paraId="14B1EB35" w14:textId="77777777" w:rsidTr="00EC4573">
        <w:trPr>
          <w:trHeight w:val="416"/>
          <w:jc w:val="center"/>
        </w:trPr>
        <w:tc>
          <w:tcPr>
            <w:tcW w:w="1103" w:type="dxa"/>
            <w:shd w:val="clear" w:color="auto" w:fill="548DD4"/>
          </w:tcPr>
          <w:p w14:paraId="1B521825" w14:textId="77777777" w:rsidR="00EC4573" w:rsidRDefault="00EC4573">
            <w:pPr>
              <w:rPr>
                <w:b/>
                <w:color w:val="FFFFFF"/>
                <w:sz w:val="20"/>
                <w:szCs w:val="20"/>
              </w:rPr>
            </w:pPr>
            <w:r>
              <w:rPr>
                <w:b/>
                <w:color w:val="FFFFFF"/>
                <w:sz w:val="20"/>
                <w:szCs w:val="20"/>
              </w:rPr>
              <w:t>Conservation/ Heritage</w:t>
            </w:r>
          </w:p>
        </w:tc>
        <w:tc>
          <w:tcPr>
            <w:tcW w:w="1418" w:type="dxa"/>
          </w:tcPr>
          <w:p w14:paraId="37751317" w14:textId="77777777" w:rsidR="00EC4573" w:rsidRPr="00EC4573" w:rsidRDefault="00EC4573" w:rsidP="00031B00">
            <w:pPr>
              <w:jc w:val="center"/>
              <w:rPr>
                <w:bCs/>
                <w:sz w:val="20"/>
                <w:szCs w:val="20"/>
              </w:rPr>
            </w:pPr>
            <w:r w:rsidRPr="00EC4573">
              <w:rPr>
                <w:bCs/>
                <w:sz w:val="20"/>
                <w:szCs w:val="20"/>
              </w:rPr>
              <w:t>189, 192, 193, 196</w:t>
            </w:r>
          </w:p>
        </w:tc>
        <w:tc>
          <w:tcPr>
            <w:tcW w:w="1275" w:type="dxa"/>
          </w:tcPr>
          <w:p w14:paraId="216A366B" w14:textId="77777777" w:rsidR="00EC4573" w:rsidRDefault="00EC4573" w:rsidP="00031B00">
            <w:pPr>
              <w:jc w:val="center"/>
              <w:rPr>
                <w:bCs/>
                <w:iCs/>
                <w:sz w:val="20"/>
                <w:szCs w:val="20"/>
              </w:rPr>
            </w:pPr>
            <w:r>
              <w:rPr>
                <w:bCs/>
                <w:iCs/>
                <w:sz w:val="20"/>
                <w:szCs w:val="20"/>
              </w:rPr>
              <w:t>HE3, HE7</w:t>
            </w:r>
          </w:p>
        </w:tc>
        <w:tc>
          <w:tcPr>
            <w:tcW w:w="1134" w:type="dxa"/>
          </w:tcPr>
          <w:p w14:paraId="02B67147" w14:textId="77777777" w:rsidR="00EC4573" w:rsidRDefault="00EC4573" w:rsidP="00031B00">
            <w:pPr>
              <w:jc w:val="center"/>
              <w:rPr>
                <w:bCs/>
                <w:iCs/>
                <w:sz w:val="20"/>
                <w:szCs w:val="20"/>
              </w:rPr>
            </w:pPr>
          </w:p>
        </w:tc>
        <w:tc>
          <w:tcPr>
            <w:tcW w:w="1134" w:type="dxa"/>
          </w:tcPr>
          <w:p w14:paraId="2C24726F" w14:textId="77777777" w:rsidR="00EC4573" w:rsidRDefault="00EC4573" w:rsidP="00031B00">
            <w:pPr>
              <w:jc w:val="center"/>
              <w:rPr>
                <w:bCs/>
                <w:iCs/>
                <w:sz w:val="20"/>
                <w:szCs w:val="20"/>
              </w:rPr>
            </w:pPr>
          </w:p>
        </w:tc>
        <w:tc>
          <w:tcPr>
            <w:tcW w:w="1134" w:type="dxa"/>
          </w:tcPr>
          <w:p w14:paraId="0D46C44D" w14:textId="77777777" w:rsidR="00EC4573" w:rsidRDefault="00EC4573" w:rsidP="00031B00">
            <w:pPr>
              <w:jc w:val="center"/>
              <w:rPr>
                <w:bCs/>
                <w:iCs/>
                <w:sz w:val="20"/>
                <w:szCs w:val="20"/>
              </w:rPr>
            </w:pPr>
            <w:r>
              <w:rPr>
                <w:bCs/>
                <w:iCs/>
                <w:sz w:val="20"/>
                <w:szCs w:val="20"/>
              </w:rPr>
              <w:t>DH3</w:t>
            </w:r>
          </w:p>
        </w:tc>
        <w:tc>
          <w:tcPr>
            <w:tcW w:w="1560" w:type="dxa"/>
          </w:tcPr>
          <w:p w14:paraId="6EE57C63" w14:textId="77777777" w:rsidR="00EC4573" w:rsidRDefault="00EC4573" w:rsidP="00031B00">
            <w:pPr>
              <w:jc w:val="center"/>
              <w:rPr>
                <w:bCs/>
                <w:iCs/>
                <w:sz w:val="20"/>
                <w:szCs w:val="20"/>
              </w:rPr>
            </w:pPr>
          </w:p>
        </w:tc>
        <w:tc>
          <w:tcPr>
            <w:tcW w:w="1275" w:type="dxa"/>
          </w:tcPr>
          <w:p w14:paraId="74E1C791" w14:textId="77777777" w:rsidR="00EC4573" w:rsidRDefault="00EC4573" w:rsidP="00031B00">
            <w:pPr>
              <w:jc w:val="center"/>
              <w:rPr>
                <w:bCs/>
                <w:iCs/>
                <w:sz w:val="20"/>
                <w:szCs w:val="20"/>
              </w:rPr>
            </w:pPr>
            <w:r w:rsidRPr="00EC4573">
              <w:rPr>
                <w:bCs/>
                <w:iCs/>
                <w:sz w:val="20"/>
                <w:szCs w:val="20"/>
              </w:rPr>
              <w:t xml:space="preserve">North Oxford Victorian Suburb </w:t>
            </w:r>
            <w:r w:rsidRPr="00EC4573">
              <w:rPr>
                <w:bCs/>
                <w:iCs/>
                <w:sz w:val="20"/>
                <w:szCs w:val="20"/>
              </w:rPr>
              <w:lastRenderedPageBreak/>
              <w:t>Conservation Area Appraisal</w:t>
            </w:r>
          </w:p>
        </w:tc>
      </w:tr>
      <w:tr w:rsidR="00EC4573" w14:paraId="455D0D91" w14:textId="77777777" w:rsidTr="00EC4573">
        <w:trPr>
          <w:trHeight w:val="600"/>
          <w:jc w:val="center"/>
        </w:trPr>
        <w:tc>
          <w:tcPr>
            <w:tcW w:w="1103" w:type="dxa"/>
            <w:shd w:val="clear" w:color="auto" w:fill="548DD4"/>
          </w:tcPr>
          <w:p w14:paraId="08990887" w14:textId="77777777" w:rsidR="00EC4573" w:rsidRDefault="00EC4573">
            <w:pPr>
              <w:rPr>
                <w:b/>
                <w:color w:val="FFFFFF"/>
                <w:sz w:val="20"/>
                <w:szCs w:val="20"/>
              </w:rPr>
            </w:pPr>
            <w:r>
              <w:rPr>
                <w:b/>
                <w:color w:val="FFFFFF"/>
                <w:sz w:val="20"/>
                <w:szCs w:val="20"/>
              </w:rPr>
              <w:lastRenderedPageBreak/>
              <w:t>Miscellaneous</w:t>
            </w:r>
          </w:p>
        </w:tc>
        <w:tc>
          <w:tcPr>
            <w:tcW w:w="1418" w:type="dxa"/>
            <w:shd w:val="clear" w:color="auto" w:fill="D3DFEE"/>
          </w:tcPr>
          <w:p w14:paraId="71E8E653" w14:textId="77777777" w:rsidR="00EC4573" w:rsidRPr="00EC4573" w:rsidRDefault="00EC4573" w:rsidP="00031B00">
            <w:pPr>
              <w:jc w:val="center"/>
              <w:rPr>
                <w:bCs/>
                <w:sz w:val="20"/>
                <w:szCs w:val="20"/>
              </w:rPr>
            </w:pPr>
            <w:r w:rsidRPr="00EC4573">
              <w:rPr>
                <w:bCs/>
                <w:sz w:val="20"/>
                <w:szCs w:val="20"/>
              </w:rPr>
              <w:t>47, 48</w:t>
            </w:r>
          </w:p>
        </w:tc>
        <w:tc>
          <w:tcPr>
            <w:tcW w:w="1275" w:type="dxa"/>
            <w:shd w:val="clear" w:color="auto" w:fill="D3DFEE"/>
          </w:tcPr>
          <w:p w14:paraId="0ED902B4" w14:textId="77777777" w:rsidR="00EC4573" w:rsidRDefault="00EC4573" w:rsidP="00031B00">
            <w:pPr>
              <w:jc w:val="center"/>
              <w:rPr>
                <w:bCs/>
                <w:iCs/>
                <w:sz w:val="20"/>
                <w:szCs w:val="20"/>
              </w:rPr>
            </w:pPr>
          </w:p>
          <w:p w14:paraId="3649734E" w14:textId="77777777" w:rsidR="00EC4573" w:rsidRDefault="00EC4573" w:rsidP="00031B00">
            <w:pPr>
              <w:jc w:val="center"/>
              <w:rPr>
                <w:bCs/>
                <w:iCs/>
                <w:sz w:val="20"/>
                <w:szCs w:val="20"/>
              </w:rPr>
            </w:pPr>
          </w:p>
        </w:tc>
        <w:tc>
          <w:tcPr>
            <w:tcW w:w="1134" w:type="dxa"/>
            <w:shd w:val="clear" w:color="auto" w:fill="D3DFEE"/>
          </w:tcPr>
          <w:p w14:paraId="3AD94EDA" w14:textId="77777777" w:rsidR="00EC4573" w:rsidRDefault="00EC4573" w:rsidP="00031B00">
            <w:pPr>
              <w:jc w:val="center"/>
              <w:rPr>
                <w:bCs/>
                <w:iCs/>
                <w:sz w:val="20"/>
                <w:szCs w:val="20"/>
              </w:rPr>
            </w:pPr>
          </w:p>
        </w:tc>
        <w:tc>
          <w:tcPr>
            <w:tcW w:w="1134" w:type="dxa"/>
            <w:shd w:val="clear" w:color="auto" w:fill="D3DFEE"/>
          </w:tcPr>
          <w:p w14:paraId="3DB2E107" w14:textId="77777777" w:rsidR="00EC4573" w:rsidRDefault="00EC4573" w:rsidP="00031B00">
            <w:pPr>
              <w:jc w:val="center"/>
              <w:rPr>
                <w:bCs/>
                <w:iCs/>
                <w:sz w:val="20"/>
                <w:szCs w:val="20"/>
              </w:rPr>
            </w:pPr>
            <w:r>
              <w:rPr>
                <w:bCs/>
                <w:iCs/>
                <w:sz w:val="20"/>
                <w:szCs w:val="20"/>
              </w:rPr>
              <w:t>MP1</w:t>
            </w:r>
          </w:p>
        </w:tc>
        <w:tc>
          <w:tcPr>
            <w:tcW w:w="1134" w:type="dxa"/>
            <w:shd w:val="clear" w:color="auto" w:fill="D3DFEE"/>
          </w:tcPr>
          <w:p w14:paraId="126FAF99" w14:textId="77777777" w:rsidR="00EC4573" w:rsidRDefault="00EC4573" w:rsidP="00031B00">
            <w:pPr>
              <w:jc w:val="center"/>
              <w:rPr>
                <w:bCs/>
                <w:iCs/>
                <w:sz w:val="20"/>
                <w:szCs w:val="20"/>
              </w:rPr>
            </w:pPr>
          </w:p>
        </w:tc>
        <w:tc>
          <w:tcPr>
            <w:tcW w:w="1560" w:type="dxa"/>
            <w:shd w:val="clear" w:color="auto" w:fill="D3DFEE"/>
          </w:tcPr>
          <w:p w14:paraId="61B04331" w14:textId="77777777" w:rsidR="00EC4573" w:rsidRDefault="00EC4573" w:rsidP="00031B00">
            <w:pPr>
              <w:jc w:val="center"/>
              <w:rPr>
                <w:bCs/>
                <w:iCs/>
                <w:sz w:val="20"/>
                <w:szCs w:val="20"/>
              </w:rPr>
            </w:pPr>
          </w:p>
        </w:tc>
        <w:tc>
          <w:tcPr>
            <w:tcW w:w="1275" w:type="dxa"/>
            <w:shd w:val="clear" w:color="auto" w:fill="D3DFEE"/>
          </w:tcPr>
          <w:p w14:paraId="420E9AFF" w14:textId="77777777" w:rsidR="00EC4573" w:rsidRDefault="00EC4573" w:rsidP="00031B00">
            <w:pPr>
              <w:jc w:val="center"/>
              <w:rPr>
                <w:bCs/>
                <w:iCs/>
                <w:sz w:val="20"/>
                <w:szCs w:val="20"/>
              </w:rPr>
            </w:pPr>
          </w:p>
        </w:tc>
      </w:tr>
    </w:tbl>
    <w:p w14:paraId="1DDE40DB" w14:textId="77777777" w:rsidR="006B58A3" w:rsidRDefault="006B58A3"/>
    <w:p w14:paraId="726AC87A" w14:textId="77777777" w:rsidR="006B58A3" w:rsidRDefault="006B58A3" w:rsidP="00455020">
      <w:pPr>
        <w:pStyle w:val="HEADINGA"/>
      </w:pPr>
      <w:r>
        <w:t>CONSULTATION RESPONSES</w:t>
      </w:r>
    </w:p>
    <w:p w14:paraId="0599F5FF" w14:textId="77777777" w:rsidR="006B58A3" w:rsidRDefault="006B58A3" w:rsidP="00455020">
      <w:pPr>
        <w:pStyle w:val="PARAGRAPHA"/>
        <w:ind w:left="709" w:hanging="709"/>
      </w:pPr>
      <w:r>
        <w:t xml:space="preserve">Site notices were displayed around the application site on </w:t>
      </w:r>
      <w:r w:rsidR="00EC4573">
        <w:t>16</w:t>
      </w:r>
      <w:r w:rsidR="00EC4573" w:rsidRPr="00EC4573">
        <w:rPr>
          <w:vertAlign w:val="superscript"/>
        </w:rPr>
        <w:t>th</w:t>
      </w:r>
      <w:r w:rsidR="00EC4573">
        <w:t xml:space="preserve"> March</w:t>
      </w:r>
      <w:r>
        <w:t xml:space="preserve"> and an advertisement was published in The Oxford Times newspaper on 26th March 2020.</w:t>
      </w:r>
    </w:p>
    <w:p w14:paraId="7E7EECE8" w14:textId="77777777" w:rsidR="006B58A3" w:rsidRDefault="006B58A3" w:rsidP="00455020">
      <w:pPr>
        <w:pStyle w:val="HEADINGB"/>
        <w:ind w:left="709" w:firstLine="0"/>
      </w:pPr>
      <w:r>
        <w:t>Statutory and non-statutory consultees</w:t>
      </w:r>
    </w:p>
    <w:p w14:paraId="6653861A" w14:textId="77777777" w:rsidR="006B58A3" w:rsidRPr="00EC4573" w:rsidRDefault="00EC4573" w:rsidP="00455020">
      <w:pPr>
        <w:pStyle w:val="PARAGRAPHA"/>
        <w:ind w:left="709" w:hanging="709"/>
      </w:pPr>
      <w:r w:rsidRPr="00EC4573">
        <w:t>No</w:t>
      </w:r>
      <w:r>
        <w:t xml:space="preserve"> comments were</w:t>
      </w:r>
      <w:r w:rsidRPr="00EC4573">
        <w:t xml:space="preserve"> </w:t>
      </w:r>
      <w:r>
        <w:t>r</w:t>
      </w:r>
      <w:r w:rsidRPr="00EC4573">
        <w:t>eceived</w:t>
      </w:r>
    </w:p>
    <w:p w14:paraId="2D4C7D2C" w14:textId="77777777" w:rsidR="006B58A3" w:rsidRDefault="006B58A3" w:rsidP="00455020">
      <w:pPr>
        <w:pStyle w:val="HEADINGB"/>
        <w:ind w:left="709" w:firstLine="0"/>
      </w:pPr>
      <w:r>
        <w:t>Public representations</w:t>
      </w:r>
    </w:p>
    <w:p w14:paraId="6A6ABFC6" w14:textId="77777777" w:rsidR="006B58A3" w:rsidRDefault="00EC4573" w:rsidP="00455020">
      <w:pPr>
        <w:pStyle w:val="PARAGRAPHA"/>
        <w:ind w:left="709" w:hanging="709"/>
      </w:pPr>
      <w:r>
        <w:t>No</w:t>
      </w:r>
      <w:r w:rsidR="006B58A3">
        <w:t xml:space="preserve"> local people commented on this application</w:t>
      </w:r>
      <w:r>
        <w:t>.</w:t>
      </w:r>
    </w:p>
    <w:p w14:paraId="1C4BF103" w14:textId="77777777" w:rsidR="006B58A3" w:rsidRDefault="006B58A3"/>
    <w:p w14:paraId="2869D104" w14:textId="77777777" w:rsidR="006B58A3" w:rsidRDefault="006B58A3" w:rsidP="00455020">
      <w:pPr>
        <w:pStyle w:val="HEADINGA"/>
      </w:pPr>
      <w:r>
        <w:t>PLANNING MATERIAL CONSIDERATIONS</w:t>
      </w:r>
    </w:p>
    <w:p w14:paraId="7E844085" w14:textId="77777777" w:rsidR="006B58A3" w:rsidRDefault="006B58A3" w:rsidP="00455020">
      <w:pPr>
        <w:pStyle w:val="PARAGRAPHA"/>
        <w:ind w:left="709" w:hanging="709"/>
      </w:pPr>
      <w:r>
        <w:t>Officers consider the determining issues to be:</w:t>
      </w:r>
    </w:p>
    <w:p w14:paraId="32AC25C1" w14:textId="77777777" w:rsidR="006B58A3" w:rsidRDefault="00EC4573" w:rsidP="00EC4573">
      <w:pPr>
        <w:pStyle w:val="BULLETS"/>
        <w:numPr>
          <w:ilvl w:val="0"/>
          <w:numId w:val="7"/>
        </w:numPr>
      </w:pPr>
      <w:r>
        <w:t xml:space="preserve">  </w:t>
      </w:r>
      <w:r w:rsidR="006B58A3">
        <w:t>Design</w:t>
      </w:r>
    </w:p>
    <w:p w14:paraId="11312546" w14:textId="77777777" w:rsidR="00EC4573" w:rsidRDefault="00EC4573" w:rsidP="00EC4573">
      <w:pPr>
        <w:pStyle w:val="BULLETS"/>
        <w:numPr>
          <w:ilvl w:val="0"/>
          <w:numId w:val="7"/>
        </w:numPr>
      </w:pPr>
      <w:r>
        <w:t xml:space="preserve">  Conservation Area</w:t>
      </w:r>
    </w:p>
    <w:p w14:paraId="256F9ED6" w14:textId="77777777" w:rsidR="00EC4573" w:rsidRDefault="00EC4573" w:rsidP="00EC4573">
      <w:pPr>
        <w:pStyle w:val="BULLETS"/>
        <w:numPr>
          <w:ilvl w:val="0"/>
          <w:numId w:val="7"/>
        </w:numPr>
      </w:pPr>
      <w:r>
        <w:t xml:space="preserve">  Listed Buildings</w:t>
      </w:r>
    </w:p>
    <w:p w14:paraId="462D3841" w14:textId="77777777" w:rsidR="006B58A3" w:rsidRDefault="00EC4573" w:rsidP="00EC4573">
      <w:pPr>
        <w:pStyle w:val="BULLETS"/>
        <w:numPr>
          <w:ilvl w:val="0"/>
          <w:numId w:val="7"/>
        </w:numPr>
      </w:pPr>
      <w:r>
        <w:t xml:space="preserve">  Neighbouring amenity</w:t>
      </w:r>
    </w:p>
    <w:p w14:paraId="4FD3FE83" w14:textId="77777777" w:rsidR="00EC4573" w:rsidRDefault="00EC4573" w:rsidP="00EC4573">
      <w:pPr>
        <w:pStyle w:val="CONSIDERATIONSHEADINGS"/>
        <w:numPr>
          <w:ilvl w:val="0"/>
          <w:numId w:val="0"/>
        </w:numPr>
        <w:rPr>
          <w:b w:val="0"/>
          <w:bCs/>
        </w:rPr>
      </w:pPr>
    </w:p>
    <w:p w14:paraId="12D7CCD2" w14:textId="77777777" w:rsidR="006B58A3" w:rsidRDefault="00EC4573" w:rsidP="00455020">
      <w:pPr>
        <w:pStyle w:val="CONSIDERATIONSHEADINGS"/>
        <w:numPr>
          <w:ilvl w:val="0"/>
          <w:numId w:val="9"/>
        </w:numPr>
        <w:tabs>
          <w:tab w:val="clear" w:pos="1134"/>
        </w:tabs>
        <w:ind w:left="709" w:hanging="709"/>
        <w:rPr>
          <w:rFonts w:eastAsia="ZapfDingbatsITC"/>
        </w:rPr>
      </w:pPr>
      <w:r>
        <w:t>Design</w:t>
      </w:r>
    </w:p>
    <w:p w14:paraId="7BD956F9" w14:textId="77777777" w:rsidR="006B58A3" w:rsidRDefault="005B6FB0" w:rsidP="00455020">
      <w:pPr>
        <w:pStyle w:val="PARAGRAPHA"/>
        <w:ind w:left="709" w:hanging="709"/>
      </w:pPr>
      <w:r w:rsidRPr="005B6FB0">
        <w:t>Policy CP1 of the Oxford Local Plan 2001-2016 states that a development must show a high standard of design, including landscape treatment, that respects the character and appearance of the area; and the materials used must be of a quality appropriate to the nature of the development, the site and its surroundings. CS18 of the Core Strategy states that planning permission will be granted for development that demonstrates high-quality urban design through responding appropriately to the site and its surroundings; creating a strong sense of place; and contributing to an attractive public realm. Policy HP9 of the Sites and Housing Plan states that planning permission will only be granted for residential development that responds to the overall character of the area, including its built and natural features.</w:t>
      </w:r>
    </w:p>
    <w:p w14:paraId="5BEA819F" w14:textId="77777777" w:rsidR="005B6FB0" w:rsidRDefault="005B6FB0" w:rsidP="00455020">
      <w:pPr>
        <w:pStyle w:val="PARAGRAPHA"/>
        <w:ind w:left="709" w:hanging="709"/>
      </w:pPr>
      <w:r>
        <w:t xml:space="preserve">The proposal entails a minor alteration to the terrace of one of the flats. The lowering of the privacy screen would have a very low visual impact and would not unbalance the appearance or proportions of the rear elevation of Bardwell Court. The screens would remain of high quality design and its materiality would continue to form a congruent addition to the area, as the screens would still be </w:t>
      </w:r>
      <w:r>
        <w:lastRenderedPageBreak/>
        <w:t>of Cedar wood construction</w:t>
      </w:r>
      <w:r w:rsidR="004D7FC5">
        <w:t>,</w:t>
      </w:r>
      <w:r>
        <w:t xml:space="preserve"> as originally approved. The terrace in question would also not be readily perceptible from the public realm. </w:t>
      </w:r>
    </w:p>
    <w:p w14:paraId="4E7B91A5" w14:textId="77777777" w:rsidR="005B6FB0" w:rsidRDefault="005B6FB0" w:rsidP="00455020">
      <w:pPr>
        <w:pStyle w:val="PARAGRAPHA"/>
        <w:ind w:left="709" w:hanging="709"/>
      </w:pPr>
      <w:r>
        <w:t>Having regard to the above it is considered that the proposal would be of acceptable design and would accord with the relevant policies.</w:t>
      </w:r>
    </w:p>
    <w:p w14:paraId="758F3B75" w14:textId="77777777" w:rsidR="006B58A3" w:rsidRDefault="005B6FB0" w:rsidP="00455020">
      <w:pPr>
        <w:pStyle w:val="CONSIDERATIONSHEADINGS"/>
        <w:numPr>
          <w:ilvl w:val="0"/>
          <w:numId w:val="9"/>
        </w:numPr>
        <w:tabs>
          <w:tab w:val="clear" w:pos="1134"/>
        </w:tabs>
        <w:ind w:left="709" w:hanging="709"/>
        <w:rPr>
          <w:iCs/>
        </w:rPr>
      </w:pPr>
      <w:r>
        <w:t>Conservation Area</w:t>
      </w:r>
    </w:p>
    <w:p w14:paraId="12E8F383" w14:textId="77777777" w:rsidR="006B58A3" w:rsidRDefault="005B6FB0" w:rsidP="00455020">
      <w:pPr>
        <w:pStyle w:val="PARAGRAPHA"/>
        <w:ind w:left="709" w:hanging="709"/>
        <w:rPr>
          <w:iCs/>
        </w:rPr>
      </w:pPr>
      <w:r w:rsidRPr="005B6FB0">
        <w:rPr>
          <w:iCs/>
        </w:rPr>
        <w:t>Policy HE7 of the Oxford Local Plan 2001-2016 states that planning permission will only be granted for development that preserves or enhances the special character and appearance of the conservation areas or their setting. Furthermore, planning permission will not be granted for proposals involving the substantial demolition of a building or structure that contributes to the special interest of the conservation areas.</w:t>
      </w:r>
    </w:p>
    <w:p w14:paraId="0DD2B3BF" w14:textId="77777777" w:rsidR="005D3A86" w:rsidRDefault="005D3A86" w:rsidP="00455020">
      <w:pPr>
        <w:pStyle w:val="PARAGRAPHA"/>
        <w:ind w:left="709" w:hanging="709"/>
        <w:rPr>
          <w:iCs/>
        </w:rPr>
      </w:pPr>
      <w:r>
        <w:rPr>
          <w:iCs/>
        </w:rPr>
        <w:t xml:space="preserve">This part of the North Oxford Victorian Suburb Conservation Area largely draws its significance from the large late Victorian villas surrounding the application site, their generous front and rear gardens and their general form, materiality and aesthetic. </w:t>
      </w:r>
    </w:p>
    <w:p w14:paraId="674660FB" w14:textId="77777777" w:rsidR="005B6FB0" w:rsidRDefault="005D3A86" w:rsidP="00455020">
      <w:pPr>
        <w:pStyle w:val="PARAGRAPHA"/>
        <w:ind w:left="709" w:hanging="709"/>
        <w:rPr>
          <w:iCs/>
        </w:rPr>
      </w:pPr>
      <w:r>
        <w:rPr>
          <w:iCs/>
        </w:rPr>
        <w:t xml:space="preserve">The proposed amendment in height to the privacy screen would not be readily perceptible to public views within the conservation area and would be so minor in nature that it would not impact the enjoyment of private views within the </w:t>
      </w:r>
      <w:proofErr w:type="spellStart"/>
      <w:r>
        <w:rPr>
          <w:iCs/>
        </w:rPr>
        <w:t>backland</w:t>
      </w:r>
      <w:proofErr w:type="spellEnd"/>
      <w:r>
        <w:rPr>
          <w:iCs/>
        </w:rPr>
        <w:t xml:space="preserve"> area around Bardwell Court. The proposal would therefore not give rise to harm to the identified significance of conservation area</w:t>
      </w:r>
    </w:p>
    <w:p w14:paraId="120358AD" w14:textId="77777777" w:rsidR="005D3A86" w:rsidRPr="005D3A86" w:rsidRDefault="005D3A86" w:rsidP="00455020">
      <w:pPr>
        <w:pStyle w:val="PARAGRAPHA"/>
        <w:ind w:left="709" w:hanging="709"/>
        <w:rPr>
          <w:iCs/>
        </w:rPr>
      </w:pPr>
      <w:r w:rsidRPr="005D3A86">
        <w:rPr>
          <w:iCs/>
        </w:rPr>
        <w:t>Based on the above, it is considered that the development proposal would not result in harm to the special character of the conservation area and wou</w:t>
      </w:r>
      <w:r>
        <w:rPr>
          <w:iCs/>
        </w:rPr>
        <w:t>ld therefore comply with Policy HE7</w:t>
      </w:r>
      <w:r w:rsidRPr="005D3A86">
        <w:rPr>
          <w:iCs/>
        </w:rPr>
        <w:t>.</w:t>
      </w:r>
    </w:p>
    <w:p w14:paraId="256D9002" w14:textId="77777777" w:rsidR="005D3A86" w:rsidRPr="005D3A86" w:rsidRDefault="005D3A86" w:rsidP="00455020">
      <w:pPr>
        <w:pStyle w:val="PARAGRAPHA"/>
        <w:ind w:left="709" w:hanging="709"/>
        <w:rPr>
          <w:iCs/>
        </w:rPr>
      </w:pPr>
      <w:r w:rsidRPr="005D3A86">
        <w:rPr>
          <w:iCs/>
        </w:rPr>
        <w:t>Regard has been paid to paragraphs 192 and 193 of the NPPF and the need to give great weight to the conservation of the designated heritage asset in reaching a decision. When applying the test outlined in paragraph 196, it is considered that the proposal would cause no harm to the significance of the conservation area. Therefore, the proposals would be acceptable in terms of their impact on this designated heritage asset.</w:t>
      </w:r>
    </w:p>
    <w:p w14:paraId="773A682D" w14:textId="77777777" w:rsidR="005B6FB0" w:rsidRDefault="005D3A86" w:rsidP="00455020">
      <w:pPr>
        <w:pStyle w:val="PARAGRAPHA"/>
        <w:ind w:left="709" w:hanging="709"/>
        <w:rPr>
          <w:iCs/>
        </w:rPr>
      </w:pPr>
      <w:r w:rsidRPr="005D3A86">
        <w:rPr>
          <w:iCs/>
        </w:rPr>
        <w:t>Special attention has been paid to the statutory test of preserving or enhancing the character and appearance of the conservation area under section 72 of the Planning (Listed Building</w:t>
      </w:r>
      <w:r w:rsidR="00CC51D3">
        <w:rPr>
          <w:iCs/>
        </w:rPr>
        <w:t>s</w:t>
      </w:r>
      <w:r w:rsidRPr="005D3A86">
        <w:rPr>
          <w:iCs/>
        </w:rPr>
        <w:t xml:space="preserve"> and Conservation Areas) Act 1990, which it is accepted is a higher duty. It has been concluded that the development would preserve the character and appearance of the Conservation Area, and so the proposal accords with section 72 of the Act.</w:t>
      </w:r>
    </w:p>
    <w:p w14:paraId="16BB832E" w14:textId="77777777" w:rsidR="006B58A3" w:rsidRDefault="005D3A86" w:rsidP="00455020">
      <w:pPr>
        <w:pStyle w:val="CONSIDERATIONSHEADINGS"/>
        <w:numPr>
          <w:ilvl w:val="0"/>
          <w:numId w:val="9"/>
        </w:numPr>
        <w:tabs>
          <w:tab w:val="clear" w:pos="1134"/>
        </w:tabs>
        <w:ind w:left="709" w:hanging="709"/>
      </w:pPr>
      <w:r>
        <w:t>Listed Buildings</w:t>
      </w:r>
    </w:p>
    <w:p w14:paraId="32A446DD" w14:textId="0D2EEA94" w:rsidR="006B58A3" w:rsidRPr="00CF2DEA" w:rsidRDefault="00CF2DEA" w:rsidP="00455020">
      <w:pPr>
        <w:pStyle w:val="PARAGRAPHA"/>
        <w:ind w:left="709" w:hanging="709"/>
        <w:rPr>
          <w:iCs/>
        </w:rPr>
      </w:pPr>
      <w:r w:rsidRPr="00CF2DEA">
        <w:t>Policy HE3 of the Oxford Local Plan 2001-2016 states that planning permission will only be granted for development which is appropriate in terms of its scale and location, and which uses materials and colours that respect the character of the surroundings, and have due regard to the setting of any listed building.</w:t>
      </w:r>
    </w:p>
    <w:p w14:paraId="633F6D3E" w14:textId="77777777" w:rsidR="00CF2DEA" w:rsidRPr="00CF2DEA" w:rsidRDefault="00CF2DEA" w:rsidP="00455020">
      <w:pPr>
        <w:pStyle w:val="PARAGRAPHA"/>
        <w:ind w:left="709" w:hanging="709"/>
        <w:rPr>
          <w:iCs/>
        </w:rPr>
      </w:pPr>
      <w:r>
        <w:lastRenderedPageBreak/>
        <w:t xml:space="preserve">The site is surrounded by a number of listed buildings, of varying significance. The only listed building that would be impacted by this development proposal would be 2 </w:t>
      </w:r>
      <w:proofErr w:type="spellStart"/>
      <w:r>
        <w:t>Charlbury</w:t>
      </w:r>
      <w:proofErr w:type="spellEnd"/>
      <w:r>
        <w:t xml:space="preserve"> Road. The significance of this listed building is </w:t>
      </w:r>
      <w:r w:rsidR="00031B00">
        <w:t>primarily</w:t>
      </w:r>
      <w:r>
        <w:t xml:space="preserve"> </w:t>
      </w:r>
      <w:r w:rsidR="00031B00">
        <w:t>the result of</w:t>
      </w:r>
      <w:r>
        <w:t xml:space="preserve"> its architectural merit. The proposed reduced privacy screen would not be visible while viewing 2 </w:t>
      </w:r>
      <w:proofErr w:type="spellStart"/>
      <w:r>
        <w:t>Charlbury</w:t>
      </w:r>
      <w:proofErr w:type="spellEnd"/>
      <w:r>
        <w:t xml:space="preserve"> Road from the public realm and the change would not be readily perceptible to views from 2 </w:t>
      </w:r>
      <w:proofErr w:type="spellStart"/>
      <w:r>
        <w:t>Charlbury</w:t>
      </w:r>
      <w:proofErr w:type="spellEnd"/>
      <w:r>
        <w:t xml:space="preserve"> Road. Therefore the proposal would not impact the significance of the listed building.</w:t>
      </w:r>
    </w:p>
    <w:p w14:paraId="134EBF04" w14:textId="385D8093" w:rsidR="00CF2DEA" w:rsidRPr="00CF2DEA" w:rsidRDefault="00CF2DEA" w:rsidP="00455020">
      <w:pPr>
        <w:pStyle w:val="PARAGRAPHA"/>
        <w:ind w:left="709" w:hanging="709"/>
        <w:rPr>
          <w:iCs/>
        </w:rPr>
      </w:pPr>
      <w:r w:rsidRPr="00CF2DEA">
        <w:rPr>
          <w:iCs/>
        </w:rPr>
        <w:t xml:space="preserve">It is considered that the development proposal would cause </w:t>
      </w:r>
      <w:r>
        <w:rPr>
          <w:iCs/>
        </w:rPr>
        <w:t>no</w:t>
      </w:r>
      <w:r w:rsidRPr="00CF2DEA">
        <w:rPr>
          <w:iCs/>
        </w:rPr>
        <w:t xml:space="preserve"> harm to the special character of the listed building</w:t>
      </w:r>
      <w:r w:rsidR="00DF5B5D">
        <w:rPr>
          <w:iCs/>
        </w:rPr>
        <w:t>.</w:t>
      </w:r>
      <w:r w:rsidRPr="00CF2DEA">
        <w:rPr>
          <w:iCs/>
        </w:rPr>
        <w:t xml:space="preserve"> The proposal would thereby comply with Policy HE3.</w:t>
      </w:r>
    </w:p>
    <w:p w14:paraId="4F02A79C" w14:textId="1A0C1E69" w:rsidR="00CF2DEA" w:rsidRPr="00CF2DEA" w:rsidRDefault="00CF2DEA" w:rsidP="00455020">
      <w:pPr>
        <w:pStyle w:val="PARAGRAPHA"/>
        <w:ind w:left="709" w:hanging="709"/>
        <w:rPr>
          <w:iCs/>
        </w:rPr>
      </w:pPr>
      <w:r w:rsidRPr="00CF2DEA">
        <w:rPr>
          <w:iCs/>
        </w:rPr>
        <w:t xml:space="preserve">Regard has been paid to paragraphs 192 and 193 of the NPPF and the need to give great weight to the conservation of the designated heritage assets in reaching a decision. When applying the test outlined in paragraph 196, it is considered that the proposal would cause </w:t>
      </w:r>
      <w:r>
        <w:rPr>
          <w:iCs/>
        </w:rPr>
        <w:t>no</w:t>
      </w:r>
      <w:r w:rsidRPr="00CF2DEA">
        <w:rPr>
          <w:iCs/>
        </w:rPr>
        <w:t xml:space="preserve"> harm to the significance of the listed buildin</w:t>
      </w:r>
      <w:r w:rsidR="00DF5B5D">
        <w:rPr>
          <w:iCs/>
        </w:rPr>
        <w:t xml:space="preserve">g. </w:t>
      </w:r>
      <w:r w:rsidRPr="00CF2DEA">
        <w:rPr>
          <w:iCs/>
        </w:rPr>
        <w:t>Therefore, the proposal</w:t>
      </w:r>
      <w:r>
        <w:rPr>
          <w:iCs/>
        </w:rPr>
        <w:t>s</w:t>
      </w:r>
      <w:r w:rsidRPr="00CF2DEA">
        <w:rPr>
          <w:iCs/>
        </w:rPr>
        <w:t xml:space="preserve"> would be acceptable</w:t>
      </w:r>
      <w:r>
        <w:rPr>
          <w:iCs/>
        </w:rPr>
        <w:t xml:space="preserve"> in terms of its impact on t</w:t>
      </w:r>
      <w:r w:rsidR="00DF5B5D">
        <w:rPr>
          <w:iCs/>
        </w:rPr>
        <w:t>hi</w:t>
      </w:r>
      <w:r w:rsidRPr="00CF2DEA">
        <w:rPr>
          <w:iCs/>
        </w:rPr>
        <w:t>s designated heritage asset.</w:t>
      </w:r>
    </w:p>
    <w:p w14:paraId="33E4FD7D" w14:textId="77777777" w:rsidR="00CF2DEA" w:rsidRPr="00CF2DEA" w:rsidRDefault="00CF2DEA" w:rsidP="00455020">
      <w:pPr>
        <w:pStyle w:val="PARAGRAPHA"/>
        <w:ind w:left="709" w:hanging="709"/>
        <w:rPr>
          <w:iCs/>
        </w:rPr>
      </w:pPr>
      <w:r w:rsidRPr="00CF2DEA">
        <w:rPr>
          <w:iCs/>
        </w:rPr>
        <w:t>Special attention has been paid to the statutory test of preserving the listed building or its setting under section 66 of the Planning (Listed Building and Conservation Areas) Act 1990, which it is accepted is a higher duty.  It has been concluded that the development would preserve the setting of the listed building and so the proposal accords with section 66 of the Act.</w:t>
      </w:r>
    </w:p>
    <w:p w14:paraId="72DD7AE0" w14:textId="77777777" w:rsidR="006B58A3" w:rsidRDefault="00CF2DEA" w:rsidP="00455020">
      <w:pPr>
        <w:pStyle w:val="CONSIDERATIONSHEADINGS"/>
        <w:numPr>
          <w:ilvl w:val="0"/>
          <w:numId w:val="9"/>
        </w:numPr>
        <w:tabs>
          <w:tab w:val="clear" w:pos="1134"/>
        </w:tabs>
        <w:ind w:left="709" w:hanging="709"/>
      </w:pPr>
      <w:r>
        <w:t>Neighbouring Amenity</w:t>
      </w:r>
    </w:p>
    <w:p w14:paraId="35BFD4BE" w14:textId="77777777" w:rsidR="006B58A3" w:rsidRDefault="00CF2DEA" w:rsidP="00455020">
      <w:pPr>
        <w:pStyle w:val="PARAGRAPHA"/>
        <w:ind w:left="709" w:hanging="709"/>
        <w:rPr>
          <w:iCs/>
        </w:rPr>
      </w:pPr>
      <w:r>
        <w:t xml:space="preserve"> </w:t>
      </w:r>
      <w:r w:rsidR="00D01A17">
        <w:t>P</w:t>
      </w:r>
      <w:r w:rsidR="00D01A17" w:rsidRPr="00D01A17">
        <w:t>olicy HP14 of the Sites and Housing Plan states that planning permission will not be granted for development that has an overbearing effect on existing homes, and will only be granted for new residential development that provides reasonable privacy and daylight for the occupants of both existing and new homes. Policy HP14 of the Sites and Housing Plan sets out guidelines for assessing development in terms of whether it will allow adequate sunlight and daylight to habitable rooms of the neighbouring dwellings.</w:t>
      </w:r>
    </w:p>
    <w:p w14:paraId="1B51501F" w14:textId="77777777" w:rsidR="006B58A3" w:rsidRDefault="00D01A17" w:rsidP="00B32A72">
      <w:pPr>
        <w:pStyle w:val="HEADINGC"/>
        <w:ind w:left="709" w:firstLine="0"/>
      </w:pPr>
      <w:r>
        <w:t>Daylight</w:t>
      </w:r>
    </w:p>
    <w:p w14:paraId="197B7999" w14:textId="77777777" w:rsidR="006B58A3" w:rsidRPr="00031B00" w:rsidRDefault="003C59BB" w:rsidP="00455020">
      <w:pPr>
        <w:pStyle w:val="PARAGRAPHA"/>
        <w:ind w:left="709" w:hanging="709"/>
        <w:rPr>
          <w:iCs/>
        </w:rPr>
      </w:pPr>
      <w:r>
        <w:rPr>
          <w:iCs/>
        </w:rPr>
        <w:t>Given that the proposal is for privacy screens at a reduced height, it stands to reason that the proposal would enhance the amount of daylight received by neighbours to the west and east to a degree.</w:t>
      </w:r>
      <w:r w:rsidR="00031B00">
        <w:rPr>
          <w:iCs/>
        </w:rPr>
        <w:t xml:space="preserve"> However, t</w:t>
      </w:r>
      <w:r w:rsidRPr="00031B00">
        <w:rPr>
          <w:iCs/>
        </w:rPr>
        <w:t xml:space="preserve">he height of the privacy screens in question as approved, 1.8m, were considered by the planning committee in the original decision to not materially reduce the amount of light received by neighbouring occupiers, having considered the fact that the terrace is set a fair distance away from the east boundary and is of a fairly modest height and away from neighbours’ windows to the west. Therefore while the reduced height would likely improve the amount of daylight received by neighbours, planning officers consider that this would likely be </w:t>
      </w:r>
      <w:r w:rsidR="00031B00">
        <w:rPr>
          <w:iCs/>
        </w:rPr>
        <w:t>extremely</w:t>
      </w:r>
      <w:r w:rsidRPr="00031B00">
        <w:rPr>
          <w:iCs/>
        </w:rPr>
        <w:t xml:space="preserve"> minor.</w:t>
      </w:r>
    </w:p>
    <w:p w14:paraId="30F4AF3C" w14:textId="77777777" w:rsidR="00D01A17" w:rsidRPr="00D01A17" w:rsidRDefault="00D01A17" w:rsidP="00455020">
      <w:pPr>
        <w:pStyle w:val="PARAGRAPHA"/>
        <w:numPr>
          <w:ilvl w:val="0"/>
          <w:numId w:val="0"/>
        </w:numPr>
        <w:ind w:left="709" w:hanging="709"/>
        <w:rPr>
          <w:u w:val="single"/>
        </w:rPr>
      </w:pPr>
      <w:r>
        <w:tab/>
      </w:r>
      <w:r>
        <w:rPr>
          <w:u w:val="single"/>
        </w:rPr>
        <w:t>Overbearing</w:t>
      </w:r>
    </w:p>
    <w:p w14:paraId="35F363AB" w14:textId="77777777" w:rsidR="006B58A3" w:rsidRDefault="003C59BB" w:rsidP="00455020">
      <w:pPr>
        <w:pStyle w:val="PARAGRAPHA"/>
        <w:ind w:left="709" w:hanging="709"/>
      </w:pPr>
      <w:r>
        <w:lastRenderedPageBreak/>
        <w:t xml:space="preserve">The privacy screens as approved at 1.8m </w:t>
      </w:r>
      <w:r w:rsidR="00B2738E">
        <w:t xml:space="preserve">were not considered by the committee to give rise to unacceptable overbearing to </w:t>
      </w:r>
      <w:r w:rsidR="00031B00">
        <w:t>neighbours</w:t>
      </w:r>
      <w:r w:rsidR="00B2738E">
        <w:t xml:space="preserve">, given their modest height and being set away from neighbours’ boundaries, windows and amenity spaces. The </w:t>
      </w:r>
      <w:r w:rsidR="00031B00">
        <w:t>proposed reduction</w:t>
      </w:r>
      <w:r w:rsidR="00B2738E">
        <w:t xml:space="preserve"> in height would therefore have an acceptable impact in this regard.</w:t>
      </w:r>
    </w:p>
    <w:p w14:paraId="55436CEA" w14:textId="77777777" w:rsidR="00D01A17" w:rsidRPr="00D01A17" w:rsidRDefault="00D01A17" w:rsidP="00B32A72">
      <w:pPr>
        <w:pStyle w:val="PARAGRAPHA"/>
        <w:numPr>
          <w:ilvl w:val="0"/>
          <w:numId w:val="0"/>
        </w:numPr>
        <w:ind w:left="709"/>
        <w:rPr>
          <w:u w:val="single"/>
        </w:rPr>
      </w:pPr>
      <w:r w:rsidRPr="00D01A17">
        <w:rPr>
          <w:u w:val="single"/>
        </w:rPr>
        <w:t>Privacy</w:t>
      </w:r>
    </w:p>
    <w:p w14:paraId="16B62607" w14:textId="77777777" w:rsidR="00D01A17" w:rsidRDefault="00C9696C" w:rsidP="00455020">
      <w:pPr>
        <w:pStyle w:val="PARAGRAPHA"/>
        <w:ind w:left="709" w:hanging="709"/>
      </w:pPr>
      <w:r>
        <w:t>Views between the proposed terraced area in question and properties to the front and rear would not be materially affected by the proposed changes to the privacy screens. There would therefore not be additional privacy impacts to these neighbours.</w:t>
      </w:r>
    </w:p>
    <w:p w14:paraId="64DD85ED" w14:textId="77777777" w:rsidR="00C9696C" w:rsidRDefault="00C9696C" w:rsidP="00455020">
      <w:pPr>
        <w:pStyle w:val="PARAGRAPHA"/>
        <w:ind w:left="709" w:hanging="709"/>
      </w:pPr>
      <w:r>
        <w:t xml:space="preserve">In terms of the flats to the east and </w:t>
      </w:r>
      <w:proofErr w:type="spellStart"/>
      <w:r>
        <w:t>dwellinghouse</w:t>
      </w:r>
      <w:proofErr w:type="spellEnd"/>
      <w:r>
        <w:t xml:space="preserve"> to the west, the reduction in height of the privacy screens to 1.1m in height would essential render them redundant as views would be readily possible </w:t>
      </w:r>
      <w:r w:rsidR="002514D4">
        <w:t xml:space="preserve">for users of the terraced area </w:t>
      </w:r>
      <w:r>
        <w:t>over the screens.</w:t>
      </w:r>
      <w:r w:rsidR="002514D4">
        <w:t xml:space="preserve"> The terraced area, and its users, would also be more visible to neighbours.</w:t>
      </w:r>
    </w:p>
    <w:p w14:paraId="2167B575" w14:textId="77777777" w:rsidR="00C9696C" w:rsidRDefault="00C9696C" w:rsidP="00455020">
      <w:pPr>
        <w:pStyle w:val="PARAGRAPHA"/>
        <w:ind w:left="709" w:hanging="709"/>
      </w:pPr>
      <w:r>
        <w:t xml:space="preserve">With regard to 21 </w:t>
      </w:r>
      <w:proofErr w:type="spellStart"/>
      <w:r>
        <w:t>Charlbury</w:t>
      </w:r>
      <w:proofErr w:type="spellEnd"/>
      <w:r>
        <w:t xml:space="preserve"> Road, it is considered that the reduction in height to the privacy screens would allow for an unacceptable degree of </w:t>
      </w:r>
      <w:proofErr w:type="spellStart"/>
      <w:r>
        <w:t>interlooking</w:t>
      </w:r>
      <w:proofErr w:type="spellEnd"/>
      <w:r>
        <w:t xml:space="preserve"> between the terraced area of Unit 2, 19 Bardwell Road, and the internal rooms of 21 </w:t>
      </w:r>
      <w:proofErr w:type="spellStart"/>
      <w:r>
        <w:t>Charlbury</w:t>
      </w:r>
      <w:proofErr w:type="spellEnd"/>
      <w:r>
        <w:t xml:space="preserve"> Road. This would result in an unacceptable loss of privacy to the occupiers of both dwellings. Furthermore it is noted that the reduction in height of the screens would allow for wide sweeping views of the amenity space of 21 </w:t>
      </w:r>
      <w:proofErr w:type="spellStart"/>
      <w:r>
        <w:t>Charlbury</w:t>
      </w:r>
      <w:proofErr w:type="spellEnd"/>
      <w:r>
        <w:t xml:space="preserve"> Road by users of the terraced area. This would prevent the quiet enjoyment by the occupiers of 21 </w:t>
      </w:r>
      <w:proofErr w:type="spellStart"/>
      <w:r>
        <w:t>Charlbury</w:t>
      </w:r>
      <w:proofErr w:type="spellEnd"/>
      <w:r>
        <w:t xml:space="preserve"> Road of their rear amenity space.</w:t>
      </w:r>
    </w:p>
    <w:p w14:paraId="22A9139C" w14:textId="77777777" w:rsidR="00C9696C" w:rsidRDefault="00514BFB" w:rsidP="00455020">
      <w:pPr>
        <w:pStyle w:val="PARAGRAPHA"/>
        <w:ind w:left="709" w:hanging="709"/>
      </w:pPr>
      <w:r>
        <w:t>The flats to the east, which form part of the application site at Bardwell Court, would also have their privacy impinged upon. This would be due to the fact that the reduction in height of the western privacy screen would allow views of their internal habitable rooms and privacy amenity space. This loss of privacy would cause an unacceptable loss of amenity to these neighbours.</w:t>
      </w:r>
    </w:p>
    <w:p w14:paraId="4B6213CC" w14:textId="77777777" w:rsidR="00C9696C" w:rsidRDefault="00C9696C" w:rsidP="00455020">
      <w:pPr>
        <w:pStyle w:val="PARAGRAPHA"/>
        <w:ind w:left="709" w:hanging="709"/>
      </w:pPr>
      <w:r>
        <w:t>It is noted that this application has been made at the request of a neighbouring occupier due to concerns over a loss of daylight.</w:t>
      </w:r>
      <w:r w:rsidR="00514BFB">
        <w:t xml:space="preserve"> Planning officers consider that the small benefit to the daylight received by the neighbouring occupier would not offset the high loss of privacy to this neighbour and surrounded dwellings. Furthermore, p</w:t>
      </w:r>
      <w:r w:rsidR="00514BFB" w:rsidRPr="00514BFB">
        <w:t>olicy HP14 protects the amenity of current and future occupiers</w:t>
      </w:r>
      <w:r w:rsidR="00514BFB">
        <w:t>;</w:t>
      </w:r>
      <w:r w:rsidR="00514BFB" w:rsidRPr="00514BFB">
        <w:t xml:space="preserve"> </w:t>
      </w:r>
      <w:r w:rsidR="00514BFB">
        <w:t xml:space="preserve">the fact that the loss of privacy would be most acute to 21 </w:t>
      </w:r>
      <w:proofErr w:type="spellStart"/>
      <w:r w:rsidR="00514BFB">
        <w:t>Charlbury</w:t>
      </w:r>
      <w:proofErr w:type="spellEnd"/>
      <w:r w:rsidR="00514BFB">
        <w:t xml:space="preserve"> Road and this occupier supports the application is therefore immaterial as the amenity of future occupiers </w:t>
      </w:r>
      <w:r w:rsidR="00C73584">
        <w:t xml:space="preserve">of this </w:t>
      </w:r>
      <w:proofErr w:type="spellStart"/>
      <w:r w:rsidR="00C73584">
        <w:t>dwellinghouse</w:t>
      </w:r>
      <w:proofErr w:type="spellEnd"/>
      <w:r w:rsidR="00C73584">
        <w:t xml:space="preserve"> </w:t>
      </w:r>
      <w:r w:rsidR="00514BFB">
        <w:t xml:space="preserve">would be </w:t>
      </w:r>
      <w:r w:rsidR="00C73584">
        <w:t xml:space="preserve">unacceptably </w:t>
      </w:r>
      <w:r w:rsidR="00514BFB">
        <w:t xml:space="preserve">impacted. </w:t>
      </w:r>
    </w:p>
    <w:p w14:paraId="0C9E67EF" w14:textId="5DF76A26" w:rsidR="00C9696C" w:rsidRDefault="00C9696C" w:rsidP="00455020">
      <w:pPr>
        <w:pStyle w:val="PARAGRAPHA"/>
        <w:ind w:left="709" w:hanging="709"/>
      </w:pPr>
      <w:r>
        <w:t xml:space="preserve">It should also be noted that the planning committee at which the original application was decided considered that the privacy screens, at a height of at least 1.8m, were fundamental to the acceptability of the scheme. Planning officers therefore recommend </w:t>
      </w:r>
      <w:r w:rsidR="00C73584">
        <w:t>refusal</w:t>
      </w:r>
      <w:r>
        <w:t xml:space="preserve"> for the sake of consistency </w:t>
      </w:r>
      <w:r w:rsidR="00514BFB">
        <w:t xml:space="preserve">with the </w:t>
      </w:r>
      <w:r w:rsidR="00C73584">
        <w:t>Council’s</w:t>
      </w:r>
      <w:r w:rsidR="00514BFB">
        <w:t xml:space="preserve"> previous </w:t>
      </w:r>
      <w:r w:rsidR="00C73584">
        <w:t>consideration</w:t>
      </w:r>
      <w:r w:rsidR="00DF5B5D">
        <w:t>, given that no new material consideration has arisen since the previous planning decision</w:t>
      </w:r>
      <w:r w:rsidR="00514BFB">
        <w:t>.</w:t>
      </w:r>
    </w:p>
    <w:p w14:paraId="3405E1BD" w14:textId="77777777" w:rsidR="00D01A17" w:rsidRDefault="008026D2" w:rsidP="00455020">
      <w:pPr>
        <w:pStyle w:val="PARAGRAPHA"/>
        <w:ind w:left="709" w:hanging="709"/>
      </w:pPr>
      <w:r>
        <w:lastRenderedPageBreak/>
        <w:t>Having considered the above, planning officers consider that the development proposal would give rise to an unacceptable loss of privacy to neighbours and would not accord with Policy HP14 in this regard.</w:t>
      </w:r>
    </w:p>
    <w:p w14:paraId="60B1E60D" w14:textId="77777777" w:rsidR="006B58A3" w:rsidRDefault="006B58A3" w:rsidP="00455020">
      <w:pPr>
        <w:pStyle w:val="HEADINGA"/>
      </w:pPr>
      <w:r>
        <w:t>CONCLUSION</w:t>
      </w:r>
    </w:p>
    <w:p w14:paraId="23D36B1F" w14:textId="77777777" w:rsidR="00B2738E" w:rsidRDefault="00B2738E" w:rsidP="00455020">
      <w:pPr>
        <w:pStyle w:val="PARAGRAPHA"/>
        <w:ind w:left="709" w:hanging="709"/>
      </w:pPr>
      <w:r>
        <w:t xml:space="preserve">Having regards to the matters discussed in the report, officers would make members aware that the starting point for the determination of this application is in accordance with Section 38 (6) of the Planning and Compulsory Purchase Act 2004 which makes clear that proposals should be assessed in accordance with the development plan unless material considerations indicate otherwise. </w:t>
      </w:r>
    </w:p>
    <w:p w14:paraId="00C15B68" w14:textId="77777777" w:rsidR="00B2738E" w:rsidRDefault="00B2738E" w:rsidP="00455020">
      <w:pPr>
        <w:pStyle w:val="PARAGRAPHA"/>
        <w:ind w:left="709" w:hanging="709"/>
      </w:pPr>
      <w:r>
        <w:t xml:space="preserve">The NPPF recognises the need to take decisions in accordance with Section 38 (6) but also makes clear that it is a material consideration in the determination of any planning application (paragraph 2). The main aim of the NPPF is to deliver Sustainable Development, with paragraph 11 the key principle for achieving this aim. The NPPF also goes on to state that development plan policies should be given due weight depending on their consistency with the aims and objectives of the Framework. The relevant development plan policies are considered to be consistent with the NPPF despite being adopted prior to the publication of the framework. </w:t>
      </w:r>
    </w:p>
    <w:p w14:paraId="14DC61C7" w14:textId="77777777" w:rsidR="00B2738E" w:rsidRDefault="00B2738E" w:rsidP="00455020">
      <w:pPr>
        <w:pStyle w:val="PARAGRAPHA"/>
        <w:ind w:left="709" w:hanging="709"/>
      </w:pPr>
      <w:r>
        <w:t xml:space="preserve">Therefore it would be necessary to consider the degree to which the proposal complies with the policies of the development plan as a whole and whether there are any material considerations, such as the NPPF, which are inconsistent with the result of the application of the development plan as a whole. </w:t>
      </w:r>
    </w:p>
    <w:p w14:paraId="659FBD39" w14:textId="7CF2A83F" w:rsidR="00B2738E" w:rsidRDefault="00B2738E" w:rsidP="00455020">
      <w:pPr>
        <w:pStyle w:val="PARAGRAPHA"/>
        <w:ind w:left="709" w:hanging="709"/>
      </w:pPr>
      <w:r>
        <w:t xml:space="preserve">In summary, the proposed development would </w:t>
      </w:r>
      <w:r w:rsidR="00DF5B5D">
        <w:t>result in</w:t>
      </w:r>
      <w:r>
        <w:t xml:space="preserve"> an unacceptable </w:t>
      </w:r>
      <w:r w:rsidR="00DF5B5D">
        <w:t>change</w:t>
      </w:r>
      <w:r>
        <w:t xml:space="preserve"> to the site. The design of the proposal is suitable in design and heritage terms and compl</w:t>
      </w:r>
      <w:r w:rsidR="00AD697D">
        <w:t>ies</w:t>
      </w:r>
      <w:r>
        <w:t xml:space="preserve"> with policies CP1, CP8, CP10, HE3 and HE7 of the Oxford Local Plan 2001-2016, HP9 of the Sites and Housing Plan and CS18 of the Core Strategy and DH1 and DH3 of the emerging Oxford Local Plan 2036. The proposal, however, would result in unacceptable harm to neighbouring amenity and </w:t>
      </w:r>
      <w:r w:rsidR="00D635B5">
        <w:t>is</w:t>
      </w:r>
      <w:r>
        <w:t xml:space="preserve"> not compliant with HP14 of the Sites and Housing Plan and H14 of the emerging Oxford Local Plan.</w:t>
      </w:r>
    </w:p>
    <w:p w14:paraId="3C2B264F" w14:textId="77777777" w:rsidR="00B2738E" w:rsidRDefault="00B2738E" w:rsidP="00455020">
      <w:pPr>
        <w:pStyle w:val="PARAGRAPHA"/>
        <w:ind w:left="709" w:hanging="709"/>
      </w:pPr>
      <w:r>
        <w:t xml:space="preserve">Therefore officers consider that the development fails to accord with the development plan as a whole. </w:t>
      </w:r>
    </w:p>
    <w:p w14:paraId="5E698AC0" w14:textId="77777777" w:rsidR="00B2738E" w:rsidRPr="00B2738E" w:rsidRDefault="00B2738E" w:rsidP="00455020">
      <w:pPr>
        <w:pStyle w:val="PARAGRAPHA"/>
        <w:ind w:left="709" w:hanging="709"/>
        <w:rPr>
          <w:i/>
        </w:rPr>
      </w:pPr>
      <w:r w:rsidRPr="00B2738E">
        <w:rPr>
          <w:i/>
        </w:rPr>
        <w:t>Material consideration</w:t>
      </w:r>
    </w:p>
    <w:p w14:paraId="11FCD0BA" w14:textId="37C99CA5" w:rsidR="00B2738E" w:rsidRDefault="00B2738E" w:rsidP="00455020">
      <w:pPr>
        <w:pStyle w:val="PARAGRAPHA"/>
        <w:ind w:left="709" w:hanging="709"/>
      </w:pPr>
      <w:r>
        <w:t xml:space="preserve">The principal material considerations which arise are addressed below, and follow the analysis set out in earlier sections of this report. </w:t>
      </w:r>
      <w:r w:rsidR="00DF5B5D">
        <w:t>This analysis concludes, as per paragraph 11.4, with the privacy implications arising from the proposed development resulting in the application being recommended for refusal.</w:t>
      </w:r>
    </w:p>
    <w:p w14:paraId="2AE03568" w14:textId="77777777" w:rsidR="00B2738E" w:rsidRDefault="00B2738E" w:rsidP="00455020">
      <w:pPr>
        <w:pStyle w:val="PARAGRAPHA"/>
        <w:ind w:left="709" w:hanging="709"/>
      </w:pPr>
      <w:r>
        <w:t xml:space="preserve">National Planning Policy: the NPPF has a presumption in favour of sustainable development. </w:t>
      </w:r>
    </w:p>
    <w:p w14:paraId="766D9558" w14:textId="77777777" w:rsidR="00B2738E" w:rsidRDefault="00B2738E" w:rsidP="00455020">
      <w:pPr>
        <w:pStyle w:val="PARAGRAPHA"/>
        <w:ind w:left="709" w:hanging="709"/>
      </w:pPr>
      <w:r>
        <w:t xml:space="preserve">NPPF paragraph 11 states that proposals that accord with the development plan should be approved without delay, or where the development plan is absent, </w:t>
      </w:r>
      <w:r>
        <w:lastRenderedPageBreak/>
        <w:t xml:space="preserve">silent, or relevant plans are out of date, granting permission unless any adverse impacts would significantly and demonstrably outweigh the benefits when assessed against the policies in the Framework taken as a whole; or specific policies in the framework indicate development should be restricted. </w:t>
      </w:r>
    </w:p>
    <w:p w14:paraId="65074482" w14:textId="77777777" w:rsidR="00B2738E" w:rsidRDefault="00B2738E" w:rsidP="00455020">
      <w:pPr>
        <w:pStyle w:val="PARAGRAPHA"/>
        <w:ind w:left="709" w:hanging="709"/>
      </w:pPr>
      <w:r>
        <w:t xml:space="preserve">Officers consider that the proposal would fail to accord with the overall aims and objectives of the NPPF for the reasons set out within the report. Therefore in such circumstances, paragraph 11 is clear that planning permission should be refused without delay. </w:t>
      </w:r>
    </w:p>
    <w:p w14:paraId="62DC0CA9" w14:textId="77777777" w:rsidR="00B2738E" w:rsidRDefault="00B2738E" w:rsidP="00455020">
      <w:pPr>
        <w:pStyle w:val="PARAGRAPHA"/>
        <w:ind w:left="709" w:hanging="709"/>
      </w:pPr>
      <w:r>
        <w:t>Officers would advise members that, having considered the application carefully, the proposal is considered to be unacceptable in terms of the aims and objectives of the National Planning Policy Framework and relevant policies of the Oxford Core Strategy 2026, and Oxford Local Plan 2001-2016, and the emerging Local Plan 2036, when considered as a whole, and that there are no material considerations that would outweigh these policies.</w:t>
      </w:r>
    </w:p>
    <w:p w14:paraId="5E65EE49" w14:textId="4527DCFE" w:rsidR="006B58A3" w:rsidRDefault="00B2738E" w:rsidP="00CD6E80">
      <w:pPr>
        <w:pStyle w:val="PARAGRAPHA"/>
        <w:ind w:left="709" w:hanging="709"/>
      </w:pPr>
      <w:r>
        <w:t xml:space="preserve"> Therefore it is recommended that the Committee resolve to refuse planning permission for the development proposed for </w:t>
      </w:r>
      <w:r w:rsidR="00D635B5">
        <w:t xml:space="preserve">the </w:t>
      </w:r>
      <w:r>
        <w:t>reason set out in Section 12 of this report.</w:t>
      </w:r>
    </w:p>
    <w:p w14:paraId="07736141" w14:textId="77777777" w:rsidR="006B58A3" w:rsidRDefault="006B58A3">
      <w:pPr>
        <w:pStyle w:val="HEADINGA"/>
      </w:pPr>
      <w:r>
        <w:t>APPENDICES</w:t>
      </w:r>
    </w:p>
    <w:p w14:paraId="7066C251" w14:textId="5F986275" w:rsidR="006B58A3" w:rsidRDefault="006B58A3" w:rsidP="0087208B">
      <w:pPr>
        <w:pStyle w:val="BULLETS"/>
      </w:pPr>
      <w:r>
        <w:rPr>
          <w:b/>
        </w:rPr>
        <w:t xml:space="preserve">Appendix 1 – </w:t>
      </w:r>
      <w:r w:rsidR="00B32A72">
        <w:t>Block plan</w:t>
      </w:r>
      <w:bookmarkStart w:id="0" w:name="_GoBack"/>
      <w:bookmarkEnd w:id="0"/>
    </w:p>
    <w:p w14:paraId="3139971C" w14:textId="77777777" w:rsidR="0087208B" w:rsidRDefault="0087208B" w:rsidP="0087208B">
      <w:pPr>
        <w:pStyle w:val="BULLETS"/>
        <w:numPr>
          <w:ilvl w:val="0"/>
          <w:numId w:val="0"/>
        </w:numPr>
        <w:ind w:left="1069"/>
      </w:pPr>
    </w:p>
    <w:p w14:paraId="0966E66A" w14:textId="77777777" w:rsidR="006B58A3" w:rsidRDefault="006B58A3">
      <w:pPr>
        <w:pStyle w:val="HEADINGA"/>
      </w:pPr>
      <w:r>
        <w:t>HUMAN RIGHTS ACT 1998</w:t>
      </w:r>
    </w:p>
    <w:p w14:paraId="4BA230CC" w14:textId="77777777" w:rsidR="006B58A3" w:rsidRDefault="006B58A3">
      <w:pPr>
        <w:pStyle w:val="PARAGRAPHA"/>
      </w:pPr>
      <w:r>
        <w:t>Officers have considered the implications of the Human Rights Act 1998 i</w:t>
      </w:r>
      <w:r w:rsidR="008026D2">
        <w:t xml:space="preserve">n reaching a recommendation to refuse </w:t>
      </w:r>
      <w:r>
        <w:t>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2836D61B" w14:textId="77777777" w:rsidR="006B58A3" w:rsidRDefault="006B58A3">
      <w:pPr>
        <w:pStyle w:val="HEADINGA"/>
      </w:pPr>
      <w:r>
        <w:t>SECTION 17 OF THE CRIME AND DISORDER ACT 1998</w:t>
      </w:r>
    </w:p>
    <w:p w14:paraId="5AC09509" w14:textId="77777777" w:rsidR="006B58A3" w:rsidRDefault="006B58A3">
      <w:pPr>
        <w:pStyle w:val="PARAGRAPHA"/>
      </w:pPr>
      <w:r>
        <w:t>Officers have considered, with due regard, the likely effect of the proposal on the need to reduce crime and disorder as part of the determination of this application, in accordance with section 17 of the Crime and Disorder Act 1998. In reaching a recommen</w:t>
      </w:r>
      <w:r w:rsidR="008026D2">
        <w:t xml:space="preserve">dation to </w:t>
      </w:r>
      <w:r>
        <w:t>refuse planning permission, officers consider that the proposal will not undermine crime prevention or the promotion of community.</w:t>
      </w:r>
    </w:p>
    <w:sectPr w:rsidR="006B58A3" w:rsidSect="00455020">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A9632" w14:textId="77777777" w:rsidR="00F60EB3" w:rsidRDefault="00F60EB3">
      <w:r>
        <w:separator/>
      </w:r>
    </w:p>
  </w:endnote>
  <w:endnote w:type="continuationSeparator" w:id="0">
    <w:p w14:paraId="29235183" w14:textId="77777777" w:rsidR="00F60EB3" w:rsidRDefault="00F6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F4B32" w14:textId="77777777" w:rsidR="00F60EB3" w:rsidRDefault="00F60EB3">
      <w:r>
        <w:separator/>
      </w:r>
    </w:p>
  </w:footnote>
  <w:footnote w:type="continuationSeparator" w:id="0">
    <w:p w14:paraId="0688FD84" w14:textId="77777777" w:rsidR="00F60EB3" w:rsidRDefault="00F60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4649B4"/>
    <w:multiLevelType w:val="hybridMultilevel"/>
    <w:tmpl w:val="A4D610F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7C6623A"/>
    <w:multiLevelType w:val="hybridMultilevel"/>
    <w:tmpl w:val="3C22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E1CE2"/>
    <w:multiLevelType w:val="hybridMultilevel"/>
    <w:tmpl w:val="A036CAC0"/>
    <w:lvl w:ilvl="0" w:tplc="CCDA771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3C9B4F21"/>
    <w:multiLevelType w:val="hybridMultilevel"/>
    <w:tmpl w:val="DF74F67E"/>
    <w:lvl w:ilvl="0" w:tplc="064866FA">
      <w:start w:val="1"/>
      <w:numFmt w:val="lowerRoman"/>
      <w:lvlText w:val="%1."/>
      <w:lvlJc w:val="left"/>
      <w:pPr>
        <w:ind w:left="1080" w:hanging="72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78731586"/>
    <w:multiLevelType w:val="hybridMultilevel"/>
    <w:tmpl w:val="5080C2F6"/>
    <w:lvl w:ilvl="0" w:tplc="F72009AC">
      <w:start w:val="1"/>
      <w:numFmt w:val="lowerRoman"/>
      <w:lvlText w:val="%1."/>
      <w:lvlJc w:val="right"/>
      <w:pPr>
        <w:ind w:left="1069" w:hanging="360"/>
      </w:pPr>
      <w:rPr>
        <w:b/>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5"/>
  </w:num>
  <w:num w:numId="2">
    <w:abstractNumId w:val="6"/>
  </w:num>
  <w:num w:numId="3">
    <w:abstractNumId w:val="0"/>
  </w:num>
  <w:num w:numId="4">
    <w:abstractNumId w:val="5"/>
  </w:num>
  <w:num w:numId="5">
    <w:abstractNumId w:val="5"/>
  </w:num>
  <w:num w:numId="6">
    <w:abstractNumId w:val="2"/>
  </w:num>
  <w:num w:numId="7">
    <w:abstractNumId w:val="7"/>
  </w:num>
  <w:num w:numId="8">
    <w:abstractNumId w:val="1"/>
  </w:num>
  <w:num w:numId="9">
    <w:abstractNumId w:val="4"/>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D"/>
    <w:rsid w:val="00031B00"/>
    <w:rsid w:val="00172FA8"/>
    <w:rsid w:val="002514D4"/>
    <w:rsid w:val="0029689C"/>
    <w:rsid w:val="003C59BB"/>
    <w:rsid w:val="00455020"/>
    <w:rsid w:val="004A4D3C"/>
    <w:rsid w:val="004D7FC5"/>
    <w:rsid w:val="00514BFB"/>
    <w:rsid w:val="005838EC"/>
    <w:rsid w:val="005B6FB0"/>
    <w:rsid w:val="005D3A86"/>
    <w:rsid w:val="006247C3"/>
    <w:rsid w:val="006751C9"/>
    <w:rsid w:val="006B58A3"/>
    <w:rsid w:val="008026D2"/>
    <w:rsid w:val="0087208B"/>
    <w:rsid w:val="00A267EE"/>
    <w:rsid w:val="00AD36DD"/>
    <w:rsid w:val="00AD697D"/>
    <w:rsid w:val="00B2738E"/>
    <w:rsid w:val="00B32A72"/>
    <w:rsid w:val="00C73584"/>
    <w:rsid w:val="00C9696C"/>
    <w:rsid w:val="00CC51D3"/>
    <w:rsid w:val="00CF2DEA"/>
    <w:rsid w:val="00D01A17"/>
    <w:rsid w:val="00D274DF"/>
    <w:rsid w:val="00D635B5"/>
    <w:rsid w:val="00DF5B5D"/>
    <w:rsid w:val="00EC4573"/>
    <w:rsid w:val="00F311B1"/>
    <w:rsid w:val="00F60EB3"/>
    <w:rsid w:val="00F91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4E9DFA"/>
  <w14:defaultImageDpi w14:val="0"/>
  <w15:docId w15:val="{11FA34FB-7262-4315-A678-C35C4B62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709" w:hanging="709"/>
    </w:pPr>
    <w:rPr>
      <w:b/>
    </w:rPr>
  </w:style>
  <w:style w:type="paragraph" w:customStyle="1" w:styleId="PARAGRAPHA">
    <w:name w:val="PARAGRAPH A"/>
    <w:basedOn w:val="Normal"/>
    <w:link w:val="PARAGRAPHAChar"/>
    <w:qFormat/>
    <w:pPr>
      <w:numPr>
        <w:ilvl w:val="1"/>
        <w:numId w:val="1"/>
      </w:numPr>
      <w:spacing w:after="240"/>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647466">
      <w:marLeft w:val="0"/>
      <w:marRight w:val="0"/>
      <w:marTop w:val="0"/>
      <w:marBottom w:val="0"/>
      <w:divBdr>
        <w:top w:val="none" w:sz="0" w:space="0" w:color="auto"/>
        <w:left w:val="none" w:sz="0" w:space="0" w:color="auto"/>
        <w:bottom w:val="none" w:sz="0" w:space="0" w:color="auto"/>
        <w:right w:val="none" w:sz="0" w:space="0" w:color="auto"/>
      </w:divBdr>
    </w:div>
    <w:div w:id="1315647467">
      <w:marLeft w:val="0"/>
      <w:marRight w:val="0"/>
      <w:marTop w:val="0"/>
      <w:marBottom w:val="0"/>
      <w:divBdr>
        <w:top w:val="none" w:sz="0" w:space="0" w:color="auto"/>
        <w:left w:val="none" w:sz="0" w:space="0" w:color="auto"/>
        <w:bottom w:val="none" w:sz="0" w:space="0" w:color="auto"/>
        <w:right w:val="none" w:sz="0" w:space="0" w:color="auto"/>
      </w:divBdr>
    </w:div>
    <w:div w:id="1315647468">
      <w:marLeft w:val="0"/>
      <w:marRight w:val="0"/>
      <w:marTop w:val="0"/>
      <w:marBottom w:val="0"/>
      <w:divBdr>
        <w:top w:val="none" w:sz="0" w:space="0" w:color="auto"/>
        <w:left w:val="none" w:sz="0" w:space="0" w:color="auto"/>
        <w:bottom w:val="none" w:sz="0" w:space="0" w:color="auto"/>
        <w:right w:val="none" w:sz="0" w:space="0" w:color="auto"/>
      </w:divBdr>
    </w:div>
    <w:div w:id="1315647469">
      <w:marLeft w:val="0"/>
      <w:marRight w:val="0"/>
      <w:marTop w:val="0"/>
      <w:marBottom w:val="0"/>
      <w:divBdr>
        <w:top w:val="none" w:sz="0" w:space="0" w:color="auto"/>
        <w:left w:val="none" w:sz="0" w:space="0" w:color="auto"/>
        <w:bottom w:val="none" w:sz="0" w:space="0" w:color="auto"/>
        <w:right w:val="none" w:sz="0" w:space="0" w:color="auto"/>
      </w:divBdr>
    </w:div>
    <w:div w:id="1315647470">
      <w:marLeft w:val="0"/>
      <w:marRight w:val="0"/>
      <w:marTop w:val="0"/>
      <w:marBottom w:val="0"/>
      <w:divBdr>
        <w:top w:val="none" w:sz="0" w:space="0" w:color="auto"/>
        <w:left w:val="none" w:sz="0" w:space="0" w:color="auto"/>
        <w:bottom w:val="none" w:sz="0" w:space="0" w:color="auto"/>
        <w:right w:val="none" w:sz="0" w:space="0" w:color="auto"/>
      </w:divBdr>
    </w:div>
    <w:div w:id="1315647471">
      <w:marLeft w:val="0"/>
      <w:marRight w:val="0"/>
      <w:marTop w:val="0"/>
      <w:marBottom w:val="0"/>
      <w:divBdr>
        <w:top w:val="none" w:sz="0" w:space="0" w:color="auto"/>
        <w:left w:val="none" w:sz="0" w:space="0" w:color="auto"/>
        <w:bottom w:val="none" w:sz="0" w:space="0" w:color="auto"/>
        <w:right w:val="none" w:sz="0" w:space="0" w:color="auto"/>
      </w:divBdr>
    </w:div>
    <w:div w:id="1315647472">
      <w:marLeft w:val="0"/>
      <w:marRight w:val="0"/>
      <w:marTop w:val="0"/>
      <w:marBottom w:val="0"/>
      <w:divBdr>
        <w:top w:val="none" w:sz="0" w:space="0" w:color="auto"/>
        <w:left w:val="none" w:sz="0" w:space="0" w:color="auto"/>
        <w:bottom w:val="none" w:sz="0" w:space="0" w:color="auto"/>
        <w:right w:val="none" w:sz="0" w:space="0" w:color="auto"/>
      </w:divBdr>
    </w:div>
    <w:div w:id="1315647473">
      <w:marLeft w:val="0"/>
      <w:marRight w:val="0"/>
      <w:marTop w:val="0"/>
      <w:marBottom w:val="0"/>
      <w:divBdr>
        <w:top w:val="none" w:sz="0" w:space="0" w:color="auto"/>
        <w:left w:val="none" w:sz="0" w:space="0" w:color="auto"/>
        <w:bottom w:val="none" w:sz="0" w:space="0" w:color="auto"/>
        <w:right w:val="none" w:sz="0" w:space="0" w:color="auto"/>
      </w:divBdr>
    </w:div>
    <w:div w:id="1315647474">
      <w:marLeft w:val="0"/>
      <w:marRight w:val="0"/>
      <w:marTop w:val="0"/>
      <w:marBottom w:val="0"/>
      <w:divBdr>
        <w:top w:val="none" w:sz="0" w:space="0" w:color="auto"/>
        <w:left w:val="none" w:sz="0" w:space="0" w:color="auto"/>
        <w:bottom w:val="none" w:sz="0" w:space="0" w:color="auto"/>
        <w:right w:val="none" w:sz="0" w:space="0" w:color="auto"/>
      </w:divBdr>
    </w:div>
    <w:div w:id="1315647475">
      <w:marLeft w:val="0"/>
      <w:marRight w:val="0"/>
      <w:marTop w:val="0"/>
      <w:marBottom w:val="0"/>
      <w:divBdr>
        <w:top w:val="none" w:sz="0" w:space="0" w:color="auto"/>
        <w:left w:val="none" w:sz="0" w:space="0" w:color="auto"/>
        <w:bottom w:val="none" w:sz="0" w:space="0" w:color="auto"/>
        <w:right w:val="none" w:sz="0" w:space="0" w:color="auto"/>
      </w:divBdr>
    </w:div>
    <w:div w:id="1315647476">
      <w:marLeft w:val="0"/>
      <w:marRight w:val="0"/>
      <w:marTop w:val="0"/>
      <w:marBottom w:val="0"/>
      <w:divBdr>
        <w:top w:val="none" w:sz="0" w:space="0" w:color="auto"/>
        <w:left w:val="none" w:sz="0" w:space="0" w:color="auto"/>
        <w:bottom w:val="none" w:sz="0" w:space="0" w:color="auto"/>
        <w:right w:val="none" w:sz="0" w:space="0" w:color="auto"/>
      </w:divBdr>
    </w:div>
    <w:div w:id="1315647477">
      <w:marLeft w:val="0"/>
      <w:marRight w:val="0"/>
      <w:marTop w:val="0"/>
      <w:marBottom w:val="0"/>
      <w:divBdr>
        <w:top w:val="none" w:sz="0" w:space="0" w:color="auto"/>
        <w:left w:val="none" w:sz="0" w:space="0" w:color="auto"/>
        <w:bottom w:val="none" w:sz="0" w:space="0" w:color="auto"/>
        <w:right w:val="none" w:sz="0" w:space="0" w:color="auto"/>
      </w:divBdr>
    </w:div>
    <w:div w:id="1315647478">
      <w:marLeft w:val="0"/>
      <w:marRight w:val="0"/>
      <w:marTop w:val="0"/>
      <w:marBottom w:val="0"/>
      <w:divBdr>
        <w:top w:val="none" w:sz="0" w:space="0" w:color="auto"/>
        <w:left w:val="none" w:sz="0" w:space="0" w:color="auto"/>
        <w:bottom w:val="none" w:sz="0" w:space="0" w:color="auto"/>
        <w:right w:val="none" w:sz="0" w:space="0" w:color="auto"/>
      </w:divBdr>
    </w:div>
    <w:div w:id="1315647479">
      <w:marLeft w:val="0"/>
      <w:marRight w:val="0"/>
      <w:marTop w:val="0"/>
      <w:marBottom w:val="0"/>
      <w:divBdr>
        <w:top w:val="none" w:sz="0" w:space="0" w:color="auto"/>
        <w:left w:val="none" w:sz="0" w:space="0" w:color="auto"/>
        <w:bottom w:val="none" w:sz="0" w:space="0" w:color="auto"/>
        <w:right w:val="none" w:sz="0" w:space="0" w:color="auto"/>
      </w:divBdr>
    </w:div>
    <w:div w:id="1315647480">
      <w:marLeft w:val="0"/>
      <w:marRight w:val="0"/>
      <w:marTop w:val="0"/>
      <w:marBottom w:val="0"/>
      <w:divBdr>
        <w:top w:val="none" w:sz="0" w:space="0" w:color="auto"/>
        <w:left w:val="none" w:sz="0" w:space="0" w:color="auto"/>
        <w:bottom w:val="none" w:sz="0" w:space="0" w:color="auto"/>
        <w:right w:val="none" w:sz="0" w:space="0" w:color="auto"/>
      </w:divBdr>
    </w:div>
    <w:div w:id="1315647481">
      <w:marLeft w:val="0"/>
      <w:marRight w:val="0"/>
      <w:marTop w:val="0"/>
      <w:marBottom w:val="0"/>
      <w:divBdr>
        <w:top w:val="none" w:sz="0" w:space="0" w:color="auto"/>
        <w:left w:val="none" w:sz="0" w:space="0" w:color="auto"/>
        <w:bottom w:val="none" w:sz="0" w:space="0" w:color="auto"/>
        <w:right w:val="none" w:sz="0" w:space="0" w:color="auto"/>
      </w:divBdr>
    </w:div>
    <w:div w:id="1315647482">
      <w:marLeft w:val="0"/>
      <w:marRight w:val="0"/>
      <w:marTop w:val="0"/>
      <w:marBottom w:val="0"/>
      <w:divBdr>
        <w:top w:val="none" w:sz="0" w:space="0" w:color="auto"/>
        <w:left w:val="none" w:sz="0" w:space="0" w:color="auto"/>
        <w:bottom w:val="none" w:sz="0" w:space="0" w:color="auto"/>
        <w:right w:val="none" w:sz="0" w:space="0" w:color="auto"/>
      </w:divBdr>
    </w:div>
    <w:div w:id="1315647483">
      <w:marLeft w:val="0"/>
      <w:marRight w:val="0"/>
      <w:marTop w:val="0"/>
      <w:marBottom w:val="0"/>
      <w:divBdr>
        <w:top w:val="none" w:sz="0" w:space="0" w:color="auto"/>
        <w:left w:val="none" w:sz="0" w:space="0" w:color="auto"/>
        <w:bottom w:val="none" w:sz="0" w:space="0" w:color="auto"/>
        <w:right w:val="none" w:sz="0" w:space="0" w:color="auto"/>
      </w:divBdr>
    </w:div>
    <w:div w:id="1315647484">
      <w:marLeft w:val="0"/>
      <w:marRight w:val="0"/>
      <w:marTop w:val="0"/>
      <w:marBottom w:val="0"/>
      <w:divBdr>
        <w:top w:val="none" w:sz="0" w:space="0" w:color="auto"/>
        <w:left w:val="none" w:sz="0" w:space="0" w:color="auto"/>
        <w:bottom w:val="none" w:sz="0" w:space="0" w:color="auto"/>
        <w:right w:val="none" w:sz="0" w:space="0" w:color="auto"/>
      </w:divBdr>
    </w:div>
    <w:div w:id="13156474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9AEA1-6069-4744-8D2B-CBCFBCBD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C9F5317F</Template>
  <TotalTime>20</TotalTime>
  <Pages>10</Pages>
  <Words>3788</Words>
  <Characters>19769</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23510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lastModifiedBy>FOWLER Robert</cp:lastModifiedBy>
  <cp:revision>4</cp:revision>
  <cp:lastPrinted>2004-03-16T15:29:00Z</cp:lastPrinted>
  <dcterms:created xsi:type="dcterms:W3CDTF">2020-05-05T13:43:00Z</dcterms:created>
  <dcterms:modified xsi:type="dcterms:W3CDTF">2020-05-07T13:59:00Z</dcterms:modified>
</cp:coreProperties>
</file>